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B6FC" w14:textId="77777777" w:rsidR="009578B8" w:rsidRPr="00503065" w:rsidRDefault="009578B8" w:rsidP="009578B8">
      <w:pPr>
        <w:jc w:val="center"/>
        <w:rPr>
          <w:sz w:val="30"/>
          <w:szCs w:val="30"/>
        </w:rPr>
      </w:pPr>
      <w:bookmarkStart w:id="0" w:name="_Toc69359527"/>
      <w:r w:rsidRPr="00503065">
        <w:rPr>
          <w:sz w:val="30"/>
          <w:szCs w:val="30"/>
        </w:rPr>
        <w:t>ĐỀ CƯƠNG CHI TIẾT HỌC PHẦN</w:t>
      </w:r>
      <w:bookmarkEnd w:id="0"/>
    </w:p>
    <w:p w14:paraId="1943D072" w14:textId="77777777" w:rsidR="009578B8" w:rsidRPr="00A45EA2" w:rsidRDefault="009578B8" w:rsidP="009578B8">
      <w:pPr>
        <w:keepNext/>
        <w:spacing w:after="0"/>
        <w:jc w:val="center"/>
        <w:outlineLvl w:val="4"/>
        <w:rPr>
          <w:rFonts w:eastAsia="Times New Roman"/>
          <w:bCs/>
          <w:i/>
        </w:rPr>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6"/>
        <w:gridCol w:w="4725"/>
      </w:tblGrid>
      <w:tr w:rsidR="009578B8" w:rsidRPr="00690A2E" w14:paraId="74424582" w14:textId="77777777" w:rsidTr="008D1A26">
        <w:trPr>
          <w:jc w:val="center"/>
        </w:trPr>
        <w:tc>
          <w:tcPr>
            <w:tcW w:w="4316" w:type="dxa"/>
            <w:tcBorders>
              <w:top w:val="single" w:sz="4" w:space="0" w:color="auto"/>
              <w:left w:val="single" w:sz="4" w:space="0" w:color="auto"/>
              <w:bottom w:val="single" w:sz="4" w:space="0" w:color="auto"/>
              <w:right w:val="single" w:sz="4" w:space="0" w:color="auto"/>
            </w:tcBorders>
            <w:vAlign w:val="center"/>
            <w:hideMark/>
          </w:tcPr>
          <w:p w14:paraId="59A0524B" w14:textId="77777777" w:rsidR="009578B8" w:rsidRPr="00690A2E" w:rsidRDefault="009578B8" w:rsidP="008D1A26">
            <w:pPr>
              <w:pStyle w:val="Heading1"/>
              <w:jc w:val="center"/>
              <w:rPr>
                <w:rFonts w:eastAsia="Calibri"/>
                <w:sz w:val="26"/>
                <w:szCs w:val="26"/>
              </w:rPr>
            </w:pPr>
            <w:bookmarkStart w:id="1" w:name="_Toc501293039"/>
            <w:bookmarkStart w:id="2" w:name="_Toc501313516"/>
            <w:bookmarkStart w:id="3" w:name="_Toc509305248"/>
            <w:bookmarkStart w:id="4" w:name="_Toc509307135"/>
            <w:bookmarkStart w:id="5" w:name="_Toc523007012"/>
            <w:bookmarkStart w:id="6" w:name="_Toc3146605"/>
            <w:bookmarkStart w:id="7" w:name="_Toc7983441"/>
            <w:bookmarkStart w:id="8" w:name="_Toc47905179"/>
            <w:bookmarkStart w:id="9" w:name="_Toc48082439"/>
            <w:bookmarkStart w:id="10" w:name="_Toc48084755"/>
            <w:bookmarkStart w:id="11" w:name="_Toc48087029"/>
            <w:bookmarkStart w:id="12" w:name="_Toc69359282"/>
            <w:bookmarkStart w:id="13" w:name="_Toc69359528"/>
            <w:bookmarkStart w:id="14" w:name="_Toc69503507"/>
            <w:r w:rsidRPr="00690A2E">
              <w:rPr>
                <w:rFonts w:eastAsia="Calibri"/>
                <w:sz w:val="26"/>
                <w:szCs w:val="26"/>
              </w:rPr>
              <w:t>Tên môn học:</w:t>
            </w:r>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4725" w:type="dxa"/>
            <w:tcBorders>
              <w:top w:val="single" w:sz="4" w:space="0" w:color="auto"/>
              <w:left w:val="single" w:sz="4" w:space="0" w:color="auto"/>
              <w:bottom w:val="single" w:sz="4" w:space="0" w:color="auto"/>
              <w:right w:val="single" w:sz="4" w:space="0" w:color="auto"/>
            </w:tcBorders>
            <w:hideMark/>
          </w:tcPr>
          <w:p w14:paraId="7681FFE1" w14:textId="77777777" w:rsidR="009578B8" w:rsidRPr="00690A2E" w:rsidRDefault="009578B8" w:rsidP="008D1A26">
            <w:pPr>
              <w:pStyle w:val="Heading1"/>
              <w:jc w:val="center"/>
              <w:rPr>
                <w:rFonts w:eastAsia="Calibri"/>
                <w:sz w:val="26"/>
                <w:szCs w:val="26"/>
              </w:rPr>
            </w:pPr>
            <w:bookmarkStart w:id="15" w:name="_Toc501293040"/>
            <w:bookmarkStart w:id="16" w:name="_Toc509305249"/>
            <w:bookmarkStart w:id="17" w:name="_Toc69359283"/>
            <w:bookmarkStart w:id="18" w:name="_Toc69503508"/>
            <w:r w:rsidRPr="00690A2E">
              <w:rPr>
                <w:rFonts w:eastAsia="Calibri"/>
                <w:sz w:val="26"/>
                <w:szCs w:val="26"/>
              </w:rPr>
              <w:t>ĐIỀU DƯỠNG CƠ SỞ 1</w:t>
            </w:r>
            <w:bookmarkEnd w:id="15"/>
            <w:bookmarkEnd w:id="16"/>
            <w:bookmarkEnd w:id="17"/>
            <w:bookmarkEnd w:id="18"/>
          </w:p>
        </w:tc>
      </w:tr>
      <w:tr w:rsidR="009578B8" w:rsidRPr="00690A2E" w14:paraId="722FFA13" w14:textId="77777777" w:rsidTr="008D1A26">
        <w:trPr>
          <w:trHeight w:val="397"/>
          <w:jc w:val="center"/>
        </w:trPr>
        <w:tc>
          <w:tcPr>
            <w:tcW w:w="4316" w:type="dxa"/>
            <w:tcBorders>
              <w:top w:val="single" w:sz="4" w:space="0" w:color="auto"/>
              <w:left w:val="single" w:sz="4" w:space="0" w:color="auto"/>
              <w:bottom w:val="single" w:sz="4" w:space="0" w:color="auto"/>
              <w:right w:val="single" w:sz="4" w:space="0" w:color="auto"/>
            </w:tcBorders>
            <w:hideMark/>
          </w:tcPr>
          <w:p w14:paraId="2D718649" w14:textId="77777777" w:rsidR="009578B8" w:rsidRPr="00690A2E" w:rsidRDefault="009578B8" w:rsidP="008D1A26">
            <w:pPr>
              <w:spacing w:after="0"/>
              <w:rPr>
                <w:bCs/>
                <w:iCs/>
              </w:rPr>
            </w:pPr>
            <w:r w:rsidRPr="00690A2E">
              <w:rPr>
                <w:bCs/>
                <w:iCs/>
              </w:rPr>
              <w:t>Mã môn học:</w:t>
            </w:r>
          </w:p>
        </w:tc>
        <w:tc>
          <w:tcPr>
            <w:tcW w:w="4725" w:type="dxa"/>
            <w:tcBorders>
              <w:top w:val="single" w:sz="4" w:space="0" w:color="auto"/>
              <w:left w:val="single" w:sz="4" w:space="0" w:color="auto"/>
              <w:bottom w:val="single" w:sz="4" w:space="0" w:color="auto"/>
              <w:right w:val="single" w:sz="4" w:space="0" w:color="auto"/>
            </w:tcBorders>
            <w:vAlign w:val="center"/>
          </w:tcPr>
          <w:p w14:paraId="7739744F" w14:textId="77777777" w:rsidR="009578B8" w:rsidRPr="00690A2E" w:rsidRDefault="009578B8" w:rsidP="008D1A26">
            <w:pPr>
              <w:spacing w:after="0"/>
              <w:jc w:val="center"/>
              <w:rPr>
                <w:bCs/>
                <w:iCs/>
                <w:lang w:val="vi-VN"/>
              </w:rPr>
            </w:pPr>
            <w:r w:rsidRPr="00690A2E">
              <w:t>610730</w:t>
            </w:r>
            <w:r w:rsidRPr="00690A2E">
              <w:rPr>
                <w:lang w:val="vi-VN"/>
              </w:rPr>
              <w:t>84</w:t>
            </w:r>
          </w:p>
        </w:tc>
      </w:tr>
      <w:tr w:rsidR="009578B8" w:rsidRPr="00690A2E" w14:paraId="1155A2E8" w14:textId="77777777" w:rsidTr="008D1A26">
        <w:trPr>
          <w:trHeight w:val="1393"/>
          <w:jc w:val="center"/>
        </w:trPr>
        <w:tc>
          <w:tcPr>
            <w:tcW w:w="4316" w:type="dxa"/>
            <w:tcBorders>
              <w:top w:val="single" w:sz="4" w:space="0" w:color="auto"/>
              <w:left w:val="single" w:sz="4" w:space="0" w:color="auto"/>
              <w:bottom w:val="single" w:sz="4" w:space="0" w:color="auto"/>
              <w:right w:val="nil"/>
            </w:tcBorders>
            <w:hideMark/>
          </w:tcPr>
          <w:p w14:paraId="3599A303" w14:textId="77777777" w:rsidR="009578B8" w:rsidRPr="00690A2E" w:rsidRDefault="009578B8" w:rsidP="008D1A26">
            <w:pPr>
              <w:spacing w:after="0"/>
              <w:rPr>
                <w:bCs/>
                <w:iCs/>
              </w:rPr>
            </w:pPr>
            <w:r w:rsidRPr="00690A2E">
              <w:rPr>
                <w:bCs/>
                <w:iCs/>
              </w:rPr>
              <w:t>Thuộc khối kiến thức/ kỹ năng:</w:t>
            </w:r>
          </w:p>
          <w:p w14:paraId="620F8A85" w14:textId="77777777" w:rsidR="009578B8" w:rsidRPr="00690A2E" w:rsidRDefault="009578B8" w:rsidP="008D1A26">
            <w:pPr>
              <w:spacing w:after="0"/>
              <w:rPr>
                <w:bCs/>
                <w:iCs/>
              </w:rPr>
            </w:pPr>
            <w:r w:rsidRPr="00690A2E">
              <w:rPr>
                <w:rFonts w:ascii="Segoe UI Symbol" w:eastAsia="MS Mincho" w:hAnsi="Segoe UI Symbol" w:cs="Segoe UI Symbol"/>
                <w:bCs/>
                <w:iCs/>
              </w:rPr>
              <w:t>☐</w:t>
            </w:r>
            <w:r w:rsidRPr="00690A2E">
              <w:rPr>
                <w:bCs/>
                <w:iCs/>
              </w:rPr>
              <w:t xml:space="preserve"> Kiến thức cơ bản</w:t>
            </w:r>
          </w:p>
          <w:p w14:paraId="094207C1" w14:textId="77777777" w:rsidR="009578B8" w:rsidRPr="00690A2E" w:rsidRDefault="009578B8" w:rsidP="008D1A26">
            <w:pPr>
              <w:spacing w:after="0"/>
              <w:rPr>
                <w:bCs/>
                <w:iCs/>
              </w:rPr>
            </w:pPr>
            <w:r w:rsidRPr="00690A2E">
              <w:rPr>
                <w:rFonts w:eastAsia="MS Gothic"/>
                <w:bCs/>
                <w:iCs/>
              </w:rPr>
              <w:sym w:font="Wingdings 2" w:char="F054"/>
            </w:r>
            <w:r w:rsidRPr="00690A2E">
              <w:rPr>
                <w:bCs/>
                <w:iCs/>
              </w:rPr>
              <w:t xml:space="preserve">  Kiến thức chuyên ngành</w:t>
            </w:r>
          </w:p>
          <w:p w14:paraId="45303F1F" w14:textId="77777777" w:rsidR="009578B8" w:rsidRPr="00690A2E" w:rsidRDefault="009578B8" w:rsidP="008D1A26">
            <w:pPr>
              <w:spacing w:after="0"/>
              <w:rPr>
                <w:bCs/>
                <w:iCs/>
              </w:rPr>
            </w:pPr>
            <w:r w:rsidRPr="00690A2E">
              <w:rPr>
                <w:rFonts w:ascii="Segoe UI Symbol" w:eastAsia="MS Mincho" w:hAnsi="Segoe UI Symbol" w:cs="Segoe UI Symbol"/>
                <w:bCs/>
                <w:iCs/>
              </w:rPr>
              <w:t>☐</w:t>
            </w:r>
            <w:r w:rsidRPr="00690A2E">
              <w:rPr>
                <w:bCs/>
                <w:iCs/>
              </w:rPr>
              <w:t xml:space="preserve"> Môn học chuyên về kỹ năng</w:t>
            </w:r>
          </w:p>
        </w:tc>
        <w:tc>
          <w:tcPr>
            <w:tcW w:w="4725" w:type="dxa"/>
            <w:tcBorders>
              <w:top w:val="single" w:sz="4" w:space="0" w:color="auto"/>
              <w:left w:val="nil"/>
              <w:bottom w:val="single" w:sz="4" w:space="0" w:color="auto"/>
              <w:right w:val="single" w:sz="4" w:space="0" w:color="auto"/>
            </w:tcBorders>
          </w:tcPr>
          <w:p w14:paraId="66F25117" w14:textId="77777777" w:rsidR="009578B8" w:rsidRPr="00690A2E" w:rsidRDefault="009578B8" w:rsidP="008D1A26">
            <w:pPr>
              <w:spacing w:after="0"/>
              <w:rPr>
                <w:bCs/>
                <w:iCs/>
              </w:rPr>
            </w:pPr>
          </w:p>
          <w:p w14:paraId="791DCE79" w14:textId="77777777" w:rsidR="009578B8" w:rsidRPr="00690A2E" w:rsidRDefault="009578B8" w:rsidP="008D1A26">
            <w:pPr>
              <w:spacing w:after="0"/>
              <w:rPr>
                <w:bCs/>
                <w:iCs/>
              </w:rPr>
            </w:pPr>
            <w:r w:rsidRPr="00690A2E">
              <w:rPr>
                <w:rFonts w:ascii="Segoe UI Symbol" w:eastAsia="MS Mincho" w:hAnsi="Segoe UI Symbol" w:cs="Segoe UI Symbol"/>
                <w:bCs/>
                <w:iCs/>
              </w:rPr>
              <w:t>☐</w:t>
            </w:r>
            <w:r w:rsidRPr="00690A2E">
              <w:rPr>
                <w:bCs/>
                <w:iCs/>
              </w:rPr>
              <w:t xml:space="preserve"> Kiến thức cơ sở ngành</w:t>
            </w:r>
          </w:p>
          <w:p w14:paraId="0786E01C" w14:textId="77777777" w:rsidR="009578B8" w:rsidRPr="00690A2E" w:rsidRDefault="009578B8" w:rsidP="008D1A26">
            <w:pPr>
              <w:spacing w:after="0"/>
              <w:rPr>
                <w:bCs/>
                <w:iCs/>
              </w:rPr>
            </w:pPr>
            <w:r w:rsidRPr="00690A2E">
              <w:rPr>
                <w:rFonts w:ascii="Segoe UI Symbol" w:eastAsia="MS Mincho" w:hAnsi="Segoe UI Symbol" w:cs="Segoe UI Symbol"/>
                <w:bCs/>
                <w:iCs/>
              </w:rPr>
              <w:t>☐</w:t>
            </w:r>
            <w:r w:rsidRPr="00690A2E">
              <w:rPr>
                <w:bCs/>
                <w:iCs/>
              </w:rPr>
              <w:t xml:space="preserve"> Kiến thức khác</w:t>
            </w:r>
          </w:p>
          <w:p w14:paraId="5C50583A" w14:textId="77777777" w:rsidR="009578B8" w:rsidRPr="00690A2E" w:rsidRDefault="009578B8" w:rsidP="008D1A26">
            <w:pPr>
              <w:spacing w:after="0"/>
              <w:rPr>
                <w:bCs/>
                <w:iCs/>
              </w:rPr>
            </w:pPr>
            <w:r w:rsidRPr="00690A2E">
              <w:rPr>
                <w:rFonts w:ascii="Segoe UI Symbol" w:eastAsia="MS Mincho" w:hAnsi="Segoe UI Symbol" w:cs="Segoe UI Symbol"/>
                <w:bCs/>
                <w:iCs/>
              </w:rPr>
              <w:t>☐</w:t>
            </w:r>
            <w:r w:rsidRPr="00690A2E">
              <w:rPr>
                <w:bCs/>
                <w:iCs/>
              </w:rPr>
              <w:t xml:space="preserve"> Môn học đồ án/ luận văn tốt nghiệp</w:t>
            </w:r>
          </w:p>
        </w:tc>
      </w:tr>
      <w:tr w:rsidR="009578B8" w:rsidRPr="00690A2E" w14:paraId="4D7398BB" w14:textId="77777777" w:rsidTr="008D1A26">
        <w:trPr>
          <w:jc w:val="center"/>
        </w:trPr>
        <w:tc>
          <w:tcPr>
            <w:tcW w:w="4316" w:type="dxa"/>
            <w:tcBorders>
              <w:top w:val="single" w:sz="4" w:space="0" w:color="auto"/>
              <w:left w:val="single" w:sz="4" w:space="0" w:color="auto"/>
              <w:bottom w:val="single" w:sz="4" w:space="0" w:color="auto"/>
              <w:right w:val="single" w:sz="4" w:space="0" w:color="auto"/>
            </w:tcBorders>
            <w:hideMark/>
          </w:tcPr>
          <w:p w14:paraId="1D575F19" w14:textId="77777777" w:rsidR="009578B8" w:rsidRPr="00690A2E" w:rsidRDefault="009578B8" w:rsidP="008D1A26">
            <w:pPr>
              <w:spacing w:after="0"/>
              <w:rPr>
                <w:bCs/>
                <w:iCs/>
              </w:rPr>
            </w:pPr>
            <w:r w:rsidRPr="00690A2E">
              <w:rPr>
                <w:bCs/>
                <w:iCs/>
              </w:rPr>
              <w:t>Số tín chỉ:</w:t>
            </w:r>
          </w:p>
        </w:tc>
        <w:tc>
          <w:tcPr>
            <w:tcW w:w="4725" w:type="dxa"/>
            <w:tcBorders>
              <w:top w:val="single" w:sz="4" w:space="0" w:color="auto"/>
              <w:left w:val="single" w:sz="4" w:space="0" w:color="auto"/>
              <w:bottom w:val="single" w:sz="4" w:space="0" w:color="auto"/>
              <w:right w:val="single" w:sz="4" w:space="0" w:color="auto"/>
            </w:tcBorders>
            <w:hideMark/>
          </w:tcPr>
          <w:p w14:paraId="3BE7FA21" w14:textId="77777777" w:rsidR="009578B8" w:rsidRPr="00690A2E" w:rsidRDefault="009578B8" w:rsidP="008D1A26">
            <w:pPr>
              <w:spacing w:after="0"/>
              <w:rPr>
                <w:bCs/>
                <w:iCs/>
              </w:rPr>
            </w:pPr>
            <w:r w:rsidRPr="00690A2E">
              <w:rPr>
                <w:bCs/>
                <w:iCs/>
              </w:rPr>
              <w:t>3 tín chỉ (2 lý thuyết + 0 thực hành)</w:t>
            </w:r>
          </w:p>
        </w:tc>
      </w:tr>
      <w:tr w:rsidR="009578B8" w:rsidRPr="00690A2E" w14:paraId="5233A2F4" w14:textId="77777777" w:rsidTr="008D1A26">
        <w:trPr>
          <w:jc w:val="center"/>
        </w:trPr>
        <w:tc>
          <w:tcPr>
            <w:tcW w:w="4316" w:type="dxa"/>
            <w:tcBorders>
              <w:top w:val="single" w:sz="4" w:space="0" w:color="auto"/>
              <w:left w:val="single" w:sz="4" w:space="0" w:color="auto"/>
              <w:bottom w:val="single" w:sz="4" w:space="0" w:color="auto"/>
              <w:right w:val="single" w:sz="4" w:space="0" w:color="auto"/>
            </w:tcBorders>
            <w:hideMark/>
          </w:tcPr>
          <w:p w14:paraId="66B7287B" w14:textId="77777777" w:rsidR="009578B8" w:rsidRPr="00690A2E" w:rsidRDefault="009578B8" w:rsidP="008D1A26">
            <w:pPr>
              <w:spacing w:after="0"/>
              <w:rPr>
                <w:bCs/>
                <w:iCs/>
              </w:rPr>
            </w:pPr>
            <w:r w:rsidRPr="00690A2E">
              <w:rPr>
                <w:bCs/>
                <w:iCs/>
              </w:rPr>
              <w:t>+ Số lý thuyết/ số buổi:</w:t>
            </w:r>
          </w:p>
        </w:tc>
        <w:tc>
          <w:tcPr>
            <w:tcW w:w="4725" w:type="dxa"/>
            <w:tcBorders>
              <w:top w:val="single" w:sz="4" w:space="0" w:color="auto"/>
              <w:left w:val="single" w:sz="4" w:space="0" w:color="auto"/>
              <w:bottom w:val="single" w:sz="4" w:space="0" w:color="auto"/>
              <w:right w:val="single" w:sz="4" w:space="0" w:color="auto"/>
            </w:tcBorders>
            <w:hideMark/>
          </w:tcPr>
          <w:p w14:paraId="1B98DBC4" w14:textId="77777777" w:rsidR="009578B8" w:rsidRPr="00690A2E" w:rsidRDefault="009578B8" w:rsidP="008D1A26">
            <w:pPr>
              <w:spacing w:after="0"/>
              <w:rPr>
                <w:bCs/>
                <w:iCs/>
              </w:rPr>
            </w:pPr>
            <w:r w:rsidRPr="00690A2E">
              <w:rPr>
                <w:bCs/>
                <w:iCs/>
              </w:rPr>
              <w:t>30 tiết lý thuyết (8 buổi)</w:t>
            </w:r>
          </w:p>
        </w:tc>
      </w:tr>
      <w:tr w:rsidR="009578B8" w:rsidRPr="00690A2E" w14:paraId="69FAA772" w14:textId="77777777" w:rsidTr="008D1A26">
        <w:trPr>
          <w:jc w:val="center"/>
        </w:trPr>
        <w:tc>
          <w:tcPr>
            <w:tcW w:w="4316" w:type="dxa"/>
            <w:tcBorders>
              <w:top w:val="single" w:sz="4" w:space="0" w:color="auto"/>
              <w:left w:val="single" w:sz="4" w:space="0" w:color="auto"/>
              <w:bottom w:val="single" w:sz="4" w:space="0" w:color="auto"/>
              <w:right w:val="single" w:sz="4" w:space="0" w:color="auto"/>
            </w:tcBorders>
            <w:hideMark/>
          </w:tcPr>
          <w:p w14:paraId="21FF3FB0" w14:textId="77777777" w:rsidR="009578B8" w:rsidRPr="00690A2E" w:rsidRDefault="009578B8" w:rsidP="008D1A26">
            <w:pPr>
              <w:spacing w:after="0"/>
              <w:rPr>
                <w:bCs/>
                <w:iCs/>
              </w:rPr>
            </w:pPr>
            <w:r w:rsidRPr="00690A2E">
              <w:rPr>
                <w:bCs/>
                <w:iCs/>
              </w:rPr>
              <w:t>+ Số tiết thực hành/ số buổi:</w:t>
            </w:r>
          </w:p>
        </w:tc>
        <w:tc>
          <w:tcPr>
            <w:tcW w:w="4725" w:type="dxa"/>
            <w:tcBorders>
              <w:top w:val="single" w:sz="4" w:space="0" w:color="auto"/>
              <w:left w:val="single" w:sz="4" w:space="0" w:color="auto"/>
              <w:bottom w:val="single" w:sz="4" w:space="0" w:color="auto"/>
              <w:right w:val="single" w:sz="4" w:space="0" w:color="auto"/>
            </w:tcBorders>
            <w:hideMark/>
          </w:tcPr>
          <w:p w14:paraId="583AFCA2" w14:textId="77777777" w:rsidR="009578B8" w:rsidRPr="00690A2E" w:rsidRDefault="009578B8" w:rsidP="008D1A26">
            <w:pPr>
              <w:spacing w:after="0"/>
              <w:rPr>
                <w:bCs/>
                <w:iCs/>
              </w:rPr>
            </w:pPr>
            <w:r w:rsidRPr="00690A2E">
              <w:rPr>
                <w:bCs/>
                <w:iCs/>
              </w:rPr>
              <w:t>0 tiết thực hành (0</w:t>
            </w:r>
            <w:r>
              <w:rPr>
                <w:bCs/>
                <w:iCs/>
              </w:rPr>
              <w:t xml:space="preserve"> </w:t>
            </w:r>
            <w:r w:rsidRPr="00690A2E">
              <w:rPr>
                <w:bCs/>
                <w:iCs/>
              </w:rPr>
              <w:t>buổi)</w:t>
            </w:r>
          </w:p>
        </w:tc>
      </w:tr>
      <w:tr w:rsidR="009578B8" w:rsidRPr="00690A2E" w14:paraId="7A01F4DC" w14:textId="77777777" w:rsidTr="008D1A26">
        <w:trPr>
          <w:trHeight w:val="363"/>
          <w:jc w:val="center"/>
        </w:trPr>
        <w:tc>
          <w:tcPr>
            <w:tcW w:w="4316" w:type="dxa"/>
            <w:tcBorders>
              <w:top w:val="single" w:sz="4" w:space="0" w:color="auto"/>
              <w:left w:val="single" w:sz="4" w:space="0" w:color="auto"/>
              <w:bottom w:val="single" w:sz="4" w:space="0" w:color="auto"/>
              <w:right w:val="single" w:sz="4" w:space="0" w:color="auto"/>
            </w:tcBorders>
            <w:hideMark/>
          </w:tcPr>
          <w:p w14:paraId="4FF69D06" w14:textId="77777777" w:rsidR="009578B8" w:rsidRPr="00690A2E" w:rsidRDefault="009578B8" w:rsidP="008D1A26">
            <w:pPr>
              <w:spacing w:after="0"/>
              <w:rPr>
                <w:bCs/>
                <w:iCs/>
              </w:rPr>
            </w:pPr>
            <w:r w:rsidRPr="00690A2E">
              <w:rPr>
                <w:bCs/>
                <w:iCs/>
              </w:rPr>
              <w:t>Môn học tiên quyết:</w:t>
            </w:r>
          </w:p>
        </w:tc>
        <w:tc>
          <w:tcPr>
            <w:tcW w:w="4725" w:type="dxa"/>
            <w:tcBorders>
              <w:top w:val="single" w:sz="4" w:space="0" w:color="auto"/>
              <w:left w:val="single" w:sz="4" w:space="0" w:color="auto"/>
              <w:bottom w:val="single" w:sz="4" w:space="0" w:color="auto"/>
              <w:right w:val="single" w:sz="4" w:space="0" w:color="auto"/>
            </w:tcBorders>
            <w:hideMark/>
          </w:tcPr>
          <w:p w14:paraId="42F2DC80" w14:textId="77777777" w:rsidR="009578B8" w:rsidRPr="00690A2E" w:rsidRDefault="009578B8" w:rsidP="008D1A26">
            <w:pPr>
              <w:spacing w:after="0"/>
              <w:rPr>
                <w:bCs/>
                <w:iCs/>
              </w:rPr>
            </w:pPr>
            <w:r w:rsidRPr="00690A2E">
              <w:t>Giải phẫu, Sinh lý</w:t>
            </w:r>
          </w:p>
        </w:tc>
      </w:tr>
      <w:tr w:rsidR="009578B8" w:rsidRPr="00690A2E" w14:paraId="4DE90A97" w14:textId="77777777" w:rsidTr="008D1A26">
        <w:trPr>
          <w:jc w:val="center"/>
        </w:trPr>
        <w:tc>
          <w:tcPr>
            <w:tcW w:w="4316" w:type="dxa"/>
            <w:tcBorders>
              <w:top w:val="single" w:sz="4" w:space="0" w:color="auto"/>
              <w:left w:val="single" w:sz="4" w:space="0" w:color="auto"/>
              <w:bottom w:val="single" w:sz="4" w:space="0" w:color="auto"/>
              <w:right w:val="single" w:sz="4" w:space="0" w:color="auto"/>
            </w:tcBorders>
            <w:hideMark/>
          </w:tcPr>
          <w:p w14:paraId="381B9E5F" w14:textId="77777777" w:rsidR="009578B8" w:rsidRPr="00690A2E" w:rsidRDefault="009578B8" w:rsidP="008D1A26">
            <w:pPr>
              <w:spacing w:after="0"/>
              <w:rPr>
                <w:bCs/>
                <w:iCs/>
              </w:rPr>
            </w:pPr>
            <w:r w:rsidRPr="00690A2E">
              <w:rPr>
                <w:bCs/>
                <w:iCs/>
              </w:rPr>
              <w:t>Môn học song hành:</w:t>
            </w:r>
          </w:p>
        </w:tc>
        <w:tc>
          <w:tcPr>
            <w:tcW w:w="4725" w:type="dxa"/>
            <w:tcBorders>
              <w:top w:val="single" w:sz="4" w:space="0" w:color="auto"/>
              <w:left w:val="single" w:sz="4" w:space="0" w:color="auto"/>
              <w:bottom w:val="single" w:sz="4" w:space="0" w:color="auto"/>
              <w:right w:val="single" w:sz="4" w:space="0" w:color="auto"/>
            </w:tcBorders>
            <w:hideMark/>
          </w:tcPr>
          <w:p w14:paraId="1697857F" w14:textId="77777777" w:rsidR="009578B8" w:rsidRPr="00690A2E" w:rsidRDefault="009578B8" w:rsidP="008D1A26">
            <w:pPr>
              <w:spacing w:after="0"/>
              <w:rPr>
                <w:bCs/>
                <w:iCs/>
              </w:rPr>
            </w:pPr>
            <w:r w:rsidRPr="00690A2E">
              <w:t>Kỹ năng giao tiếp</w:t>
            </w:r>
          </w:p>
        </w:tc>
      </w:tr>
    </w:tbl>
    <w:p w14:paraId="00481834" w14:textId="77777777" w:rsidR="009578B8" w:rsidRPr="00695359" w:rsidRDefault="009578B8" w:rsidP="009578B8">
      <w:pPr>
        <w:pStyle w:val="ListParagraph"/>
        <w:numPr>
          <w:ilvl w:val="0"/>
          <w:numId w:val="1"/>
        </w:numPr>
        <w:ind w:left="426"/>
        <w:rPr>
          <w:b/>
          <w:bCs/>
          <w:iCs/>
        </w:rPr>
      </w:pPr>
      <w:r w:rsidRPr="00695359">
        <w:rPr>
          <w:b/>
          <w:bCs/>
          <w:iCs/>
        </w:rPr>
        <w:t xml:space="preserve">Mô tả môn học: </w:t>
      </w:r>
    </w:p>
    <w:p w14:paraId="68D53218" w14:textId="77777777" w:rsidR="009578B8" w:rsidRPr="00AB3236" w:rsidRDefault="009578B8" w:rsidP="004E08BF">
      <w:pPr>
        <w:spacing w:after="0"/>
        <w:ind w:left="284" w:firstLine="567"/>
        <w:jc w:val="both"/>
        <w:rPr>
          <w:b/>
          <w:sz w:val="24"/>
          <w:szCs w:val="24"/>
          <w:lang w:val="vi-VN"/>
        </w:rPr>
      </w:pPr>
      <w:r w:rsidRPr="00AB3236">
        <w:rPr>
          <w:bCs/>
          <w:sz w:val="24"/>
          <w:szCs w:val="24"/>
          <w:lang w:val="sv-SE"/>
        </w:rPr>
        <w:t xml:space="preserve">Môn học thuộc khối kiến thức chuyên ngành, giới thiệu những kiến thức </w:t>
      </w:r>
      <w:r w:rsidRPr="00AB3236">
        <w:rPr>
          <w:bCs/>
          <w:sz w:val="24"/>
          <w:szCs w:val="24"/>
          <w:lang w:val="vi-VN"/>
        </w:rPr>
        <w:t xml:space="preserve">cơ bản </w:t>
      </w:r>
      <w:r w:rsidRPr="00AB3236">
        <w:rPr>
          <w:bCs/>
          <w:sz w:val="24"/>
          <w:szCs w:val="24"/>
          <w:lang w:val="sv-SE"/>
        </w:rPr>
        <w:t xml:space="preserve">về lịch sử điều dưỡng, </w:t>
      </w:r>
      <w:r w:rsidRPr="00AB3236">
        <w:rPr>
          <w:bCs/>
          <w:sz w:val="24"/>
          <w:szCs w:val="24"/>
          <w:lang w:val="vi-VN"/>
        </w:rPr>
        <w:t xml:space="preserve">hệ thống </w:t>
      </w:r>
      <w:r w:rsidRPr="00AB3236">
        <w:rPr>
          <w:bCs/>
          <w:sz w:val="24"/>
          <w:szCs w:val="24"/>
          <w:lang w:val="sv-SE"/>
        </w:rPr>
        <w:t>tổ chức ngành điều dưỡng</w:t>
      </w:r>
      <w:r w:rsidRPr="00AB3236">
        <w:rPr>
          <w:bCs/>
          <w:sz w:val="24"/>
          <w:szCs w:val="24"/>
          <w:lang w:val="vi-VN"/>
        </w:rPr>
        <w:t xml:space="preserve">, vai trò chức năng của người điều dưỡng và </w:t>
      </w:r>
      <w:r w:rsidRPr="00AB3236">
        <w:rPr>
          <w:bCs/>
          <w:sz w:val="24"/>
          <w:szCs w:val="24"/>
          <w:lang w:val="sv-SE"/>
        </w:rPr>
        <w:t xml:space="preserve">vị trí của điều dưỡng trong hệ thống tổ chức ngành y tế Việt Nam tạo điều kiện cho sinh viên có nhận thức đúng về nghề nghiệp điều dưỡng và những định hướng của điều dưỡng trong tương lai. </w:t>
      </w:r>
      <w:r w:rsidRPr="00AB3236">
        <w:rPr>
          <w:bCs/>
          <w:sz w:val="24"/>
          <w:szCs w:val="24"/>
          <w:lang w:val="vi-VN"/>
        </w:rPr>
        <w:t xml:space="preserve">Ngoài ra </w:t>
      </w:r>
      <w:r w:rsidRPr="00AB3236">
        <w:rPr>
          <w:bCs/>
          <w:sz w:val="24"/>
          <w:szCs w:val="24"/>
          <w:lang w:val="sv-SE"/>
        </w:rPr>
        <w:t>môn học</w:t>
      </w:r>
      <w:r w:rsidRPr="00AB3236">
        <w:rPr>
          <w:bCs/>
          <w:sz w:val="24"/>
          <w:szCs w:val="24"/>
          <w:lang w:val="vi-VN"/>
        </w:rPr>
        <w:t xml:space="preserve"> này còn cung cấp cho sinh viên các kiến thức về </w:t>
      </w:r>
      <w:r w:rsidRPr="00AB3236">
        <w:rPr>
          <w:bCs/>
          <w:sz w:val="24"/>
          <w:szCs w:val="24"/>
          <w:lang w:val="sv-SE"/>
        </w:rPr>
        <w:t>những nguyên tắc</w:t>
      </w:r>
      <w:r w:rsidRPr="00AB3236">
        <w:rPr>
          <w:bCs/>
          <w:sz w:val="24"/>
          <w:szCs w:val="24"/>
          <w:lang w:val="vi-VN"/>
        </w:rPr>
        <w:t xml:space="preserve"> chăm sóc cơ bản</w:t>
      </w:r>
      <w:r w:rsidRPr="00AB3236">
        <w:rPr>
          <w:bCs/>
          <w:sz w:val="24"/>
          <w:szCs w:val="24"/>
          <w:lang w:val="sv-SE"/>
        </w:rPr>
        <w:t>,  nhu cầu cơ bản của con người</w:t>
      </w:r>
      <w:r w:rsidRPr="00AB3236">
        <w:rPr>
          <w:bCs/>
          <w:sz w:val="24"/>
          <w:szCs w:val="24"/>
          <w:lang w:val="vi-VN"/>
        </w:rPr>
        <w:t xml:space="preserve">. Bên cạnh đó sinh viên cũng được ứng dụng các kiến thức từ những môn khoa học cơ sở vào thực hành điều dưỡng. </w:t>
      </w:r>
    </w:p>
    <w:p w14:paraId="55EFAD31" w14:textId="77777777" w:rsidR="009578B8" w:rsidRPr="00695359" w:rsidRDefault="009578B8" w:rsidP="009578B8">
      <w:pPr>
        <w:pStyle w:val="ListParagraph"/>
        <w:numPr>
          <w:ilvl w:val="0"/>
          <w:numId w:val="1"/>
        </w:numPr>
        <w:spacing w:line="276" w:lineRule="auto"/>
        <w:ind w:left="426"/>
        <w:rPr>
          <w:b/>
          <w:bCs/>
          <w:iCs/>
        </w:rPr>
      </w:pPr>
      <w:r w:rsidRPr="00690A2E">
        <w:rPr>
          <w:b/>
          <w:bCs/>
          <w:iCs/>
        </w:rPr>
        <w:t xml:space="preserve">Nguồn học liệu </w:t>
      </w:r>
    </w:p>
    <w:p w14:paraId="66D41D4B" w14:textId="77777777" w:rsidR="009578B8" w:rsidRPr="00690A2E" w:rsidRDefault="009578B8" w:rsidP="009578B8">
      <w:pPr>
        <w:spacing w:after="0"/>
        <w:rPr>
          <w:b/>
          <w:i/>
        </w:rPr>
      </w:pPr>
      <w:r w:rsidRPr="00690A2E">
        <w:rPr>
          <w:b/>
          <w:i/>
        </w:rPr>
        <w:t>Giáo trình:</w:t>
      </w:r>
    </w:p>
    <w:p w14:paraId="7274C70C" w14:textId="77777777" w:rsidR="009578B8" w:rsidRPr="00690A2E" w:rsidRDefault="009578B8" w:rsidP="009578B8">
      <w:pPr>
        <w:spacing w:after="0"/>
        <w:rPr>
          <w:bCs/>
          <w:lang w:val="nl-NL"/>
        </w:rPr>
      </w:pPr>
      <w:r w:rsidRPr="00690A2E">
        <w:rPr>
          <w:bCs/>
          <w:lang w:val="nl-NL"/>
        </w:rPr>
        <w:t>[1] Giáo trình Điều dưỡng cơ sở do Đơn vị Huấn luyện kỹ năng Điều dưỡng – Kỹ thuật y học biên soạn</w:t>
      </w:r>
    </w:p>
    <w:p w14:paraId="0504FA6B" w14:textId="77777777" w:rsidR="009578B8" w:rsidRPr="00690A2E" w:rsidRDefault="009578B8" w:rsidP="009578B8">
      <w:pPr>
        <w:spacing w:after="0"/>
        <w:rPr>
          <w:bCs/>
          <w:lang w:val="nl-NL"/>
        </w:rPr>
      </w:pPr>
      <w:r w:rsidRPr="00690A2E">
        <w:rPr>
          <w:bCs/>
          <w:lang w:val="nl-NL"/>
        </w:rPr>
        <w:t>[2] Đoàn Thị Anh Lê (2014). Kỹ thuật Điều dưỡng cơ sở dựa trên chuẩn năng lực. Thành phố Hồ Chí Minh: Nhà xuất bản Y học.</w:t>
      </w:r>
    </w:p>
    <w:p w14:paraId="2B079372" w14:textId="77777777" w:rsidR="009578B8" w:rsidRPr="00215014" w:rsidRDefault="009578B8" w:rsidP="009578B8">
      <w:pPr>
        <w:spacing w:after="0"/>
        <w:rPr>
          <w:b/>
          <w:i/>
          <w:lang w:val="nl-NL"/>
        </w:rPr>
      </w:pPr>
      <w:r w:rsidRPr="00215014">
        <w:rPr>
          <w:b/>
          <w:i/>
          <w:lang w:val="nl-NL"/>
        </w:rPr>
        <w:t>Tài liệu khác:</w:t>
      </w:r>
    </w:p>
    <w:p w14:paraId="5CB03535" w14:textId="77777777" w:rsidR="009578B8" w:rsidRPr="00690A2E" w:rsidRDefault="009578B8" w:rsidP="009578B8">
      <w:pPr>
        <w:spacing w:after="0"/>
        <w:rPr>
          <w:lang w:val="nl-NL"/>
        </w:rPr>
      </w:pPr>
      <w:r w:rsidRPr="00690A2E">
        <w:rPr>
          <w:lang w:val="nl-NL"/>
        </w:rPr>
        <w:t xml:space="preserve">[1] Bộ Y Tế (2012). </w:t>
      </w:r>
      <w:r w:rsidRPr="00690A2E">
        <w:rPr>
          <w:i/>
          <w:lang w:val="nl-NL"/>
        </w:rPr>
        <w:t>Bộ chuẩn năng lực của Điều dưỡng Việt Nam</w:t>
      </w:r>
      <w:r w:rsidRPr="00690A2E">
        <w:rPr>
          <w:lang w:val="nl-NL"/>
        </w:rPr>
        <w:t xml:space="preserve">. </w:t>
      </w:r>
    </w:p>
    <w:p w14:paraId="6EF62651" w14:textId="77777777" w:rsidR="009578B8" w:rsidRPr="00690A2E" w:rsidRDefault="009578B8" w:rsidP="009578B8">
      <w:pPr>
        <w:spacing w:after="0"/>
        <w:rPr>
          <w:i/>
          <w:lang w:val="nl-NL"/>
        </w:rPr>
      </w:pPr>
      <w:r w:rsidRPr="00690A2E">
        <w:rPr>
          <w:lang w:val="nl-NL"/>
        </w:rPr>
        <w:t>[2] Bộ Y tế (2012). Hướng dẫn phòng ngừa chuẩn trong các cơ sở khám, chữa bệnh</w:t>
      </w:r>
      <w:r w:rsidRPr="00690A2E">
        <w:rPr>
          <w:i/>
          <w:lang w:val="nl-NL"/>
        </w:rPr>
        <w:t>.</w:t>
      </w:r>
    </w:p>
    <w:p w14:paraId="7428D920" w14:textId="77777777" w:rsidR="009578B8" w:rsidRPr="00690A2E" w:rsidRDefault="009578B8" w:rsidP="009578B8">
      <w:pPr>
        <w:spacing w:after="0"/>
        <w:rPr>
          <w:lang w:val="nl-NL"/>
        </w:rPr>
      </w:pPr>
      <w:r w:rsidRPr="00690A2E">
        <w:rPr>
          <w:lang w:val="nl-NL"/>
        </w:rPr>
        <w:t>[3] Bộ Y tế (2014). Tài liệu đào tạo liên tục an toàn người bệnh</w:t>
      </w:r>
    </w:p>
    <w:p w14:paraId="5E1E8973" w14:textId="77777777" w:rsidR="009578B8" w:rsidRPr="00690A2E" w:rsidRDefault="009578B8" w:rsidP="009578B8">
      <w:pPr>
        <w:spacing w:after="0"/>
        <w:rPr>
          <w:lang w:val="nl-NL"/>
        </w:rPr>
      </w:pPr>
      <w:r w:rsidRPr="00690A2E">
        <w:rPr>
          <w:lang w:val="nl-NL"/>
        </w:rPr>
        <w:t>[4] Bộ Y tế (2014). Tài liệu đào tạo liên tục chăm sóc người bệnh toàn diện</w:t>
      </w:r>
      <w:r w:rsidRPr="00690A2E">
        <w:rPr>
          <w:i/>
          <w:lang w:val="nl-NL"/>
        </w:rPr>
        <w:t>.</w:t>
      </w:r>
    </w:p>
    <w:p w14:paraId="548BDF1C" w14:textId="77777777" w:rsidR="009578B8" w:rsidRPr="00215014" w:rsidRDefault="009578B8" w:rsidP="009578B8">
      <w:pPr>
        <w:spacing w:after="0"/>
        <w:rPr>
          <w:lang w:val="nl-NL"/>
        </w:rPr>
      </w:pPr>
      <w:r w:rsidRPr="00690A2E">
        <w:rPr>
          <w:lang w:val="nl-NL"/>
        </w:rPr>
        <w:t xml:space="preserve">[5] </w:t>
      </w:r>
      <w:r w:rsidRPr="00215014">
        <w:rPr>
          <w:lang w:val="nl-NL"/>
        </w:rPr>
        <w:t xml:space="preserve">Trần Thị Thuận (2008). </w:t>
      </w:r>
      <w:r w:rsidRPr="00215014">
        <w:rPr>
          <w:i/>
          <w:lang w:val="nl-NL"/>
        </w:rPr>
        <w:t>Điều dưỡng cơ bản 1</w:t>
      </w:r>
      <w:r w:rsidRPr="00215014">
        <w:rPr>
          <w:lang w:val="nl-NL"/>
        </w:rPr>
        <w:t>. Hà Nội: Nhà xuất bản Y học.</w:t>
      </w:r>
    </w:p>
    <w:p w14:paraId="14FB2950" w14:textId="77777777" w:rsidR="009578B8" w:rsidRPr="00690A2E" w:rsidRDefault="009578B8" w:rsidP="009578B8">
      <w:pPr>
        <w:spacing w:after="0"/>
        <w:rPr>
          <w:lang w:val="nl-NL"/>
        </w:rPr>
      </w:pPr>
      <w:r w:rsidRPr="00690A2E">
        <w:rPr>
          <w:lang w:val="nl-NL"/>
        </w:rPr>
        <w:t xml:space="preserve">[6], A., Snyder, S., &amp; Frandsen, G. (2016). </w:t>
      </w:r>
      <w:r w:rsidRPr="00690A2E">
        <w:rPr>
          <w:i/>
          <w:lang w:val="nl-NL"/>
        </w:rPr>
        <w:t>Kozier &amp; Erb's Fundamentals of Nursing: Concepts, process and practice</w:t>
      </w:r>
      <w:r w:rsidRPr="00690A2E">
        <w:rPr>
          <w:lang w:val="nl-NL"/>
        </w:rPr>
        <w:t>. Boston, MA: Pearson.</w:t>
      </w:r>
    </w:p>
    <w:p w14:paraId="026CAA5F" w14:textId="77777777" w:rsidR="009578B8" w:rsidRPr="00690A2E" w:rsidRDefault="009578B8" w:rsidP="009578B8">
      <w:pPr>
        <w:spacing w:after="0"/>
        <w:rPr>
          <w:lang w:val="nl-NL"/>
        </w:rPr>
      </w:pPr>
      <w:r w:rsidRPr="00690A2E">
        <w:rPr>
          <w:lang w:val="nl-NL"/>
        </w:rPr>
        <w:t xml:space="preserve">[7] Dougherty, L., &amp; Lister, S. (Eds.). (2015). </w:t>
      </w:r>
      <w:r w:rsidRPr="00690A2E">
        <w:rPr>
          <w:i/>
          <w:lang w:val="nl-NL"/>
        </w:rPr>
        <w:t>The Royal Marsden manual of clinical nursing procedures</w:t>
      </w:r>
      <w:r w:rsidRPr="00690A2E">
        <w:rPr>
          <w:lang w:val="nl-NL"/>
        </w:rPr>
        <w:t>. John Wiley &amp; Sons.</w:t>
      </w:r>
    </w:p>
    <w:p w14:paraId="1DD0BCDB" w14:textId="77777777" w:rsidR="009578B8" w:rsidRPr="00690A2E" w:rsidRDefault="009578B8" w:rsidP="009578B8">
      <w:pPr>
        <w:spacing w:after="0"/>
        <w:rPr>
          <w:lang w:val="nl-NL"/>
        </w:rPr>
      </w:pPr>
      <w:r w:rsidRPr="00690A2E">
        <w:rPr>
          <w:lang w:val="nl-NL"/>
        </w:rPr>
        <w:t xml:space="preserve">[8] Nugent, P. M., &amp; Vitale, B. A. (2013). </w:t>
      </w:r>
      <w:r w:rsidRPr="00690A2E">
        <w:rPr>
          <w:i/>
          <w:lang w:val="nl-NL"/>
        </w:rPr>
        <w:t>Fundamentals of nursing: Content review plus practice questions</w:t>
      </w:r>
      <w:r w:rsidRPr="00690A2E">
        <w:rPr>
          <w:lang w:val="nl-NL"/>
        </w:rPr>
        <w:t>. FA Davis.</w:t>
      </w:r>
    </w:p>
    <w:p w14:paraId="6BE9D5D4" w14:textId="77777777" w:rsidR="009578B8" w:rsidRPr="00690A2E" w:rsidRDefault="009578B8" w:rsidP="009578B8">
      <w:pPr>
        <w:spacing w:after="0"/>
        <w:rPr>
          <w:lang w:val="nl-NL"/>
        </w:rPr>
      </w:pPr>
      <w:r w:rsidRPr="00690A2E">
        <w:rPr>
          <w:lang w:val="nl-NL"/>
        </w:rPr>
        <w:t xml:space="preserve">[9] Peate, I. (Ed.). (2017). </w:t>
      </w:r>
      <w:r w:rsidRPr="00690A2E">
        <w:rPr>
          <w:i/>
          <w:lang w:val="nl-NL"/>
        </w:rPr>
        <w:t>Fundamentals of Applied Pathophysiology: An Essential Guide for Nursing and Healthcare Students</w:t>
      </w:r>
      <w:r w:rsidRPr="00690A2E">
        <w:rPr>
          <w:lang w:val="nl-NL"/>
        </w:rPr>
        <w:t>. John Wiley &amp; Sons.</w:t>
      </w:r>
    </w:p>
    <w:p w14:paraId="04BD26AC" w14:textId="77777777" w:rsidR="009578B8" w:rsidRPr="00690A2E" w:rsidRDefault="009578B8" w:rsidP="009578B8">
      <w:pPr>
        <w:spacing w:after="0"/>
        <w:rPr>
          <w:lang w:val="nl-NL"/>
        </w:rPr>
      </w:pPr>
      <w:bookmarkStart w:id="19" w:name="_Hlk17723330"/>
      <w:r w:rsidRPr="00690A2E">
        <w:rPr>
          <w:lang w:val="nl-NL"/>
        </w:rPr>
        <w:t>[10] Potter, P. A., Perry, A. G., Stockert, P., &amp; Hall, A. (2016). Fundamentals of Nursing-E-Book. Elsevier Health Sciences</w:t>
      </w:r>
      <w:bookmarkEnd w:id="19"/>
      <w:r w:rsidRPr="00690A2E">
        <w:rPr>
          <w:lang w:val="nl-NL"/>
        </w:rPr>
        <w:t>.</w:t>
      </w:r>
    </w:p>
    <w:p w14:paraId="67814350" w14:textId="77777777" w:rsidR="009578B8" w:rsidRPr="00690A2E" w:rsidRDefault="009578B8" w:rsidP="009578B8">
      <w:pPr>
        <w:spacing w:after="0"/>
        <w:rPr>
          <w:lang w:val="nl-NL"/>
        </w:rPr>
      </w:pPr>
      <w:r w:rsidRPr="00690A2E">
        <w:rPr>
          <w:lang w:val="nl-NL"/>
        </w:rPr>
        <w:lastRenderedPageBreak/>
        <w:t xml:space="preserve">[11] Scully, N., &amp; Wilson, D. (2014). </w:t>
      </w:r>
      <w:r w:rsidRPr="00690A2E">
        <w:rPr>
          <w:i/>
          <w:lang w:val="nl-NL"/>
        </w:rPr>
        <w:t>Clinical Cases: Fundamentals of nursing casestudies-eBook</w:t>
      </w:r>
      <w:r w:rsidRPr="00690A2E">
        <w:rPr>
          <w:lang w:val="nl-NL"/>
        </w:rPr>
        <w:t>. Elsevier Health Sciences.</w:t>
      </w:r>
    </w:p>
    <w:p w14:paraId="6500420E" w14:textId="77777777" w:rsidR="009578B8" w:rsidRPr="00690A2E" w:rsidRDefault="009578B8" w:rsidP="009578B8">
      <w:pPr>
        <w:spacing w:after="0"/>
        <w:rPr>
          <w:lang w:val="en-AU"/>
        </w:rPr>
      </w:pPr>
      <w:r w:rsidRPr="00690A2E">
        <w:rPr>
          <w:lang w:val="nl-NL"/>
        </w:rPr>
        <w:t xml:space="preserve">[12] Wilkinson, J. M., Treas, L. S., Barnett, K. L., &amp; Smith, M. H. (2015). </w:t>
      </w:r>
      <w:r w:rsidRPr="00690A2E">
        <w:rPr>
          <w:i/>
          <w:lang w:val="nl-NL"/>
        </w:rPr>
        <w:t>Fundamentals of Nursing - Vol 1: Theory, Concepts, and Applications</w:t>
      </w:r>
      <w:r w:rsidRPr="00690A2E">
        <w:rPr>
          <w:lang w:val="nl-NL"/>
        </w:rPr>
        <w:t>: F.A. Davis Company.</w:t>
      </w:r>
    </w:p>
    <w:p w14:paraId="55F305CD" w14:textId="77777777" w:rsidR="009578B8" w:rsidRPr="00690A2E" w:rsidRDefault="009578B8" w:rsidP="009578B8">
      <w:pPr>
        <w:spacing w:after="0"/>
        <w:rPr>
          <w:lang w:val="en-AU"/>
        </w:rPr>
      </w:pPr>
      <w:r w:rsidRPr="00690A2E">
        <w:rPr>
          <w:lang w:val="nl-NL"/>
        </w:rPr>
        <w:t xml:space="preserve">[13] Wilkinson, J. M., Treas, L. S., Barnett, K. L., &amp; Smith, M. H. (2015). </w:t>
      </w:r>
      <w:r w:rsidRPr="00690A2E">
        <w:rPr>
          <w:i/>
          <w:lang w:val="nl-NL"/>
        </w:rPr>
        <w:t>Fundamentals of Nursing - Vol 2: Thinking, Doing, and Caring</w:t>
      </w:r>
      <w:r w:rsidRPr="00690A2E">
        <w:rPr>
          <w:lang w:val="nl-NL"/>
        </w:rPr>
        <w:t>: F.A. Davis Company</w:t>
      </w:r>
      <w:r w:rsidRPr="00690A2E">
        <w:t xml:space="preserve">. </w:t>
      </w:r>
    </w:p>
    <w:p w14:paraId="673266D5" w14:textId="77777777" w:rsidR="009578B8" w:rsidRPr="00695359" w:rsidRDefault="009578B8" w:rsidP="009578B8">
      <w:pPr>
        <w:pStyle w:val="ListParagraph"/>
        <w:numPr>
          <w:ilvl w:val="0"/>
          <w:numId w:val="1"/>
        </w:numPr>
        <w:spacing w:line="276" w:lineRule="auto"/>
        <w:ind w:left="426"/>
        <w:rPr>
          <w:b/>
          <w:bCs/>
          <w:iCs/>
        </w:rPr>
      </w:pPr>
      <w:r w:rsidRPr="00695359">
        <w:rPr>
          <w:b/>
          <w:bCs/>
          <w:iCs/>
        </w:rPr>
        <w:t>Mục tiêu môn học</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828"/>
        <w:gridCol w:w="1243"/>
      </w:tblGrid>
      <w:tr w:rsidR="009578B8" w:rsidRPr="00690A2E" w14:paraId="6FF41D6D" w14:textId="77777777" w:rsidTr="008D1A26">
        <w:trPr>
          <w:trHeight w:val="175"/>
          <w:tblHeader/>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139FDFA9" w14:textId="77777777" w:rsidR="009578B8" w:rsidRPr="00690A2E" w:rsidRDefault="009578B8" w:rsidP="008D1A26">
            <w:pPr>
              <w:spacing w:after="0"/>
              <w:rPr>
                <w:b/>
              </w:rPr>
            </w:pPr>
            <w:r w:rsidRPr="00690A2E">
              <w:rPr>
                <w:b/>
              </w:rPr>
              <w:t>Mục tiêu</w:t>
            </w:r>
          </w:p>
        </w:tc>
        <w:tc>
          <w:tcPr>
            <w:tcW w:w="6828" w:type="dxa"/>
            <w:tcBorders>
              <w:top w:val="single" w:sz="4" w:space="0" w:color="auto"/>
              <w:left w:val="single" w:sz="4" w:space="0" w:color="auto"/>
              <w:bottom w:val="single" w:sz="4" w:space="0" w:color="auto"/>
              <w:right w:val="single" w:sz="4" w:space="0" w:color="auto"/>
            </w:tcBorders>
            <w:vAlign w:val="center"/>
            <w:hideMark/>
          </w:tcPr>
          <w:p w14:paraId="7754078B" w14:textId="77777777" w:rsidR="009578B8" w:rsidRPr="00690A2E" w:rsidRDefault="009578B8" w:rsidP="008D1A26">
            <w:pPr>
              <w:spacing w:after="0"/>
              <w:rPr>
                <w:b/>
              </w:rPr>
            </w:pPr>
            <w:r w:rsidRPr="00690A2E">
              <w:rPr>
                <w:b/>
              </w:rPr>
              <w:t>Mô tả mục tiêu</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DB265B1" w14:textId="77777777" w:rsidR="009578B8" w:rsidRPr="00690A2E" w:rsidRDefault="009578B8" w:rsidP="008D1A26">
            <w:pPr>
              <w:spacing w:after="0"/>
              <w:rPr>
                <w:b/>
              </w:rPr>
            </w:pPr>
            <w:r w:rsidRPr="00690A2E">
              <w:rPr>
                <w:b/>
              </w:rPr>
              <w:t>CĐR của CTĐT</w:t>
            </w:r>
          </w:p>
        </w:tc>
      </w:tr>
      <w:tr w:rsidR="009578B8" w:rsidRPr="00690A2E" w14:paraId="009892B4" w14:textId="77777777" w:rsidTr="008D1A26">
        <w:trPr>
          <w:trHeight w:val="938"/>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0319CE9F" w14:textId="77777777" w:rsidR="009578B8" w:rsidRPr="00690A2E" w:rsidRDefault="009578B8" w:rsidP="008D1A26">
            <w:pPr>
              <w:spacing w:after="0"/>
            </w:pPr>
            <w:r w:rsidRPr="00690A2E">
              <w:t>MT1</w:t>
            </w:r>
          </w:p>
        </w:tc>
        <w:tc>
          <w:tcPr>
            <w:tcW w:w="6828" w:type="dxa"/>
            <w:tcBorders>
              <w:top w:val="single" w:sz="4" w:space="0" w:color="auto"/>
              <w:left w:val="single" w:sz="4" w:space="0" w:color="auto"/>
              <w:bottom w:val="single" w:sz="4" w:space="0" w:color="auto"/>
              <w:right w:val="single" w:sz="4" w:space="0" w:color="auto"/>
            </w:tcBorders>
            <w:hideMark/>
          </w:tcPr>
          <w:p w14:paraId="10184C28" w14:textId="77777777" w:rsidR="009578B8" w:rsidRPr="00690A2E" w:rsidRDefault="009578B8" w:rsidP="008D1A26">
            <w:pPr>
              <w:spacing w:after="0"/>
              <w:rPr>
                <w:bCs/>
                <w:lang w:val="sv-SE"/>
              </w:rPr>
            </w:pPr>
            <w:r w:rsidRPr="00690A2E">
              <w:rPr>
                <w:lang w:val="sv-SE"/>
              </w:rPr>
              <w:t>Thảo luận về vai trò và trách nhiệm của người điều dưỡng khi chăm sóc cho người bệnh và gia đình của họ trong các hệ thống chăm sóc sức khỏe</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F2E5C53" w14:textId="77777777" w:rsidR="009578B8" w:rsidRPr="00690A2E" w:rsidRDefault="009578B8" w:rsidP="008D1A26">
            <w:pPr>
              <w:spacing w:after="0"/>
            </w:pPr>
            <w:r w:rsidRPr="00690A2E">
              <w:t>C</w:t>
            </w:r>
            <w:r>
              <w:t>1</w:t>
            </w:r>
          </w:p>
        </w:tc>
      </w:tr>
      <w:tr w:rsidR="009578B8" w:rsidRPr="00690A2E" w14:paraId="6CC88259" w14:textId="77777777" w:rsidTr="008D1A26">
        <w:trPr>
          <w:trHeight w:val="616"/>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7840BFDB" w14:textId="77777777" w:rsidR="009578B8" w:rsidRPr="00690A2E" w:rsidRDefault="009578B8" w:rsidP="008D1A26">
            <w:pPr>
              <w:spacing w:after="0"/>
            </w:pPr>
            <w:r w:rsidRPr="00690A2E">
              <w:t>MT2</w:t>
            </w:r>
          </w:p>
        </w:tc>
        <w:tc>
          <w:tcPr>
            <w:tcW w:w="6828" w:type="dxa"/>
            <w:tcBorders>
              <w:top w:val="single" w:sz="4" w:space="0" w:color="auto"/>
              <w:left w:val="single" w:sz="4" w:space="0" w:color="auto"/>
              <w:bottom w:val="single" w:sz="4" w:space="0" w:color="auto"/>
              <w:right w:val="single" w:sz="4" w:space="0" w:color="auto"/>
            </w:tcBorders>
            <w:hideMark/>
          </w:tcPr>
          <w:p w14:paraId="670D24CD" w14:textId="77777777" w:rsidR="009578B8" w:rsidRPr="00690A2E" w:rsidRDefault="009578B8" w:rsidP="008D1A26">
            <w:pPr>
              <w:spacing w:after="0"/>
            </w:pPr>
            <w:r w:rsidRPr="00690A2E">
              <w:rPr>
                <w:lang w:val="nl-NL"/>
              </w:rPr>
              <w:t>Sử dụng những kiến thức đã học để nhận định được nhu cầu cơ bản của người bệnh và gia đình của họ.</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E49B598" w14:textId="77777777" w:rsidR="009578B8" w:rsidRPr="00690A2E" w:rsidRDefault="009578B8" w:rsidP="008D1A26">
            <w:pPr>
              <w:spacing w:after="0"/>
            </w:pPr>
            <w:r w:rsidRPr="00690A2E">
              <w:t>C</w:t>
            </w:r>
            <w:r>
              <w:t>1</w:t>
            </w:r>
          </w:p>
        </w:tc>
      </w:tr>
      <w:tr w:rsidR="009578B8" w:rsidRPr="00690A2E" w14:paraId="5E6A0847" w14:textId="77777777" w:rsidTr="008D1A26">
        <w:trPr>
          <w:trHeight w:val="574"/>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633D9388" w14:textId="77777777" w:rsidR="009578B8" w:rsidRPr="00690A2E" w:rsidRDefault="009578B8" w:rsidP="008D1A26">
            <w:pPr>
              <w:spacing w:after="0"/>
              <w:rPr>
                <w:b/>
              </w:rPr>
            </w:pPr>
            <w:r w:rsidRPr="00690A2E">
              <w:t>MT3</w:t>
            </w:r>
          </w:p>
        </w:tc>
        <w:tc>
          <w:tcPr>
            <w:tcW w:w="6828" w:type="dxa"/>
            <w:tcBorders>
              <w:top w:val="single" w:sz="4" w:space="0" w:color="auto"/>
              <w:left w:val="single" w:sz="4" w:space="0" w:color="auto"/>
              <w:bottom w:val="single" w:sz="4" w:space="0" w:color="auto"/>
              <w:right w:val="single" w:sz="4" w:space="0" w:color="auto"/>
            </w:tcBorders>
            <w:hideMark/>
          </w:tcPr>
          <w:p w14:paraId="4C51A458" w14:textId="77777777" w:rsidR="009578B8" w:rsidRPr="00690A2E" w:rsidRDefault="009578B8" w:rsidP="008D1A26">
            <w:pPr>
              <w:spacing w:after="0"/>
              <w:rPr>
                <w:lang w:val="nl-NL"/>
              </w:rPr>
            </w:pPr>
            <w:r w:rsidRPr="00690A2E">
              <w:rPr>
                <w:bCs/>
                <w:lang w:val="nl-NL"/>
              </w:rPr>
              <w:t>Thảo luận về các tiêu chuẩn luật pháp và đạo đức người điều dưỡng cần khi chăm sóc sức khoẻ cho con người, gia đình, các nhóm dân tộc thiểu số và cộng đồng</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31A98EF" w14:textId="77777777" w:rsidR="009578B8" w:rsidRPr="00690A2E" w:rsidRDefault="009578B8" w:rsidP="008D1A26">
            <w:pPr>
              <w:spacing w:after="0"/>
            </w:pPr>
            <w:r>
              <w:t>C3</w:t>
            </w:r>
          </w:p>
        </w:tc>
      </w:tr>
      <w:tr w:rsidR="009578B8" w:rsidRPr="00690A2E" w14:paraId="6BEB64EC" w14:textId="77777777" w:rsidTr="008D1A26">
        <w:trPr>
          <w:trHeight w:val="574"/>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24CC6496" w14:textId="77777777" w:rsidR="009578B8" w:rsidRPr="00690A2E" w:rsidRDefault="009578B8" w:rsidP="008D1A26">
            <w:pPr>
              <w:spacing w:after="0"/>
            </w:pPr>
            <w:r w:rsidRPr="00690A2E">
              <w:t>MT4</w:t>
            </w:r>
          </w:p>
        </w:tc>
        <w:tc>
          <w:tcPr>
            <w:tcW w:w="6828" w:type="dxa"/>
            <w:tcBorders>
              <w:top w:val="single" w:sz="4" w:space="0" w:color="auto"/>
              <w:left w:val="single" w:sz="4" w:space="0" w:color="auto"/>
              <w:bottom w:val="single" w:sz="4" w:space="0" w:color="auto"/>
              <w:right w:val="single" w:sz="4" w:space="0" w:color="auto"/>
            </w:tcBorders>
            <w:hideMark/>
          </w:tcPr>
          <w:p w14:paraId="503B8B55" w14:textId="77777777" w:rsidR="009578B8" w:rsidRPr="00690A2E" w:rsidRDefault="009578B8" w:rsidP="008D1A26">
            <w:pPr>
              <w:spacing w:after="0"/>
              <w:rPr>
                <w:lang w:val="nl-NL"/>
              </w:rPr>
            </w:pPr>
            <w:r w:rsidRPr="00690A2E">
              <w:rPr>
                <w:bCs/>
                <w:lang w:val="nl-NL"/>
              </w:rPr>
              <w:t>Lựa chọn các can thiệp chính xác để thực hành chăm sóc người bệnh được thoải mái và an toàn trong một số tình huống.</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75D289A" w14:textId="77777777" w:rsidR="009578B8" w:rsidRPr="00690A2E" w:rsidRDefault="009578B8" w:rsidP="008D1A26">
            <w:pPr>
              <w:spacing w:after="0"/>
            </w:pPr>
            <w:r>
              <w:t>C1</w:t>
            </w:r>
          </w:p>
        </w:tc>
      </w:tr>
      <w:tr w:rsidR="009578B8" w:rsidRPr="00690A2E" w14:paraId="087C76AA" w14:textId="77777777" w:rsidTr="008D1A26">
        <w:trPr>
          <w:trHeight w:val="574"/>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408BAECA" w14:textId="77777777" w:rsidR="009578B8" w:rsidRPr="00690A2E" w:rsidRDefault="009578B8" w:rsidP="008D1A26">
            <w:pPr>
              <w:spacing w:after="0"/>
            </w:pPr>
            <w:r w:rsidRPr="00690A2E">
              <w:t>MT5</w:t>
            </w:r>
          </w:p>
        </w:tc>
        <w:tc>
          <w:tcPr>
            <w:tcW w:w="6828" w:type="dxa"/>
            <w:tcBorders>
              <w:top w:val="single" w:sz="4" w:space="0" w:color="auto"/>
              <w:left w:val="single" w:sz="4" w:space="0" w:color="auto"/>
              <w:bottom w:val="single" w:sz="4" w:space="0" w:color="auto"/>
              <w:right w:val="single" w:sz="4" w:space="0" w:color="auto"/>
            </w:tcBorders>
            <w:hideMark/>
          </w:tcPr>
          <w:p w14:paraId="49BD5B5E" w14:textId="77777777" w:rsidR="009578B8" w:rsidRPr="00690A2E" w:rsidRDefault="009578B8" w:rsidP="008D1A26">
            <w:pPr>
              <w:spacing w:after="0"/>
              <w:rPr>
                <w:lang w:val="nl-NL"/>
              </w:rPr>
            </w:pPr>
            <w:r w:rsidRPr="00690A2E">
              <w:rPr>
                <w:lang w:val="nl-NL"/>
              </w:rPr>
              <w:t>Trình bày các yếu tố môi trường ảnh hưởng đến tình trạng sức khỏe người bệnh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066F2C7" w14:textId="77777777" w:rsidR="009578B8" w:rsidRPr="00690A2E" w:rsidRDefault="009578B8" w:rsidP="008D1A26">
            <w:pPr>
              <w:spacing w:after="0"/>
            </w:pPr>
            <w:r>
              <w:t>C1, C3</w:t>
            </w:r>
          </w:p>
        </w:tc>
      </w:tr>
      <w:tr w:rsidR="009578B8" w:rsidRPr="00690A2E" w14:paraId="7AD83144" w14:textId="77777777" w:rsidTr="008D1A26">
        <w:trPr>
          <w:trHeight w:val="574"/>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29E11E58" w14:textId="77777777" w:rsidR="009578B8" w:rsidRPr="00690A2E" w:rsidRDefault="009578B8" w:rsidP="008D1A26">
            <w:pPr>
              <w:spacing w:after="0"/>
            </w:pPr>
            <w:r w:rsidRPr="00690A2E">
              <w:t>MT6</w:t>
            </w:r>
          </w:p>
        </w:tc>
        <w:tc>
          <w:tcPr>
            <w:tcW w:w="6828" w:type="dxa"/>
            <w:tcBorders>
              <w:top w:val="single" w:sz="4" w:space="0" w:color="auto"/>
              <w:left w:val="single" w:sz="4" w:space="0" w:color="auto"/>
              <w:bottom w:val="single" w:sz="4" w:space="0" w:color="auto"/>
              <w:right w:val="single" w:sz="4" w:space="0" w:color="auto"/>
            </w:tcBorders>
            <w:hideMark/>
          </w:tcPr>
          <w:p w14:paraId="3C55DBDE" w14:textId="77777777" w:rsidR="009578B8" w:rsidRPr="00690A2E" w:rsidRDefault="009578B8" w:rsidP="008D1A26">
            <w:pPr>
              <w:spacing w:after="0"/>
              <w:rPr>
                <w:lang w:val="nl-NL"/>
              </w:rPr>
            </w:pPr>
            <w:r w:rsidRPr="00690A2E">
              <w:rPr>
                <w:bCs/>
                <w:lang w:val="nl-NL"/>
              </w:rPr>
              <w:t>Nhận định và đánh giá tình trạng tổng quát của người bệnh một cách an toàn và chính xác</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4E0B04C" w14:textId="77777777" w:rsidR="009578B8" w:rsidRPr="00690A2E" w:rsidRDefault="009578B8" w:rsidP="008D1A26">
            <w:pPr>
              <w:spacing w:after="0"/>
            </w:pPr>
            <w:r>
              <w:t>C1</w:t>
            </w:r>
          </w:p>
        </w:tc>
      </w:tr>
      <w:tr w:rsidR="009578B8" w:rsidRPr="00690A2E" w14:paraId="554C004C" w14:textId="77777777" w:rsidTr="008D1A26">
        <w:trPr>
          <w:trHeight w:val="574"/>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52E6FFDA" w14:textId="77777777" w:rsidR="009578B8" w:rsidRPr="00690A2E" w:rsidRDefault="009578B8" w:rsidP="008D1A26">
            <w:pPr>
              <w:spacing w:after="0"/>
            </w:pPr>
            <w:r w:rsidRPr="00690A2E">
              <w:t>MT7</w:t>
            </w:r>
          </w:p>
        </w:tc>
        <w:tc>
          <w:tcPr>
            <w:tcW w:w="6828" w:type="dxa"/>
            <w:tcBorders>
              <w:top w:val="single" w:sz="4" w:space="0" w:color="auto"/>
              <w:left w:val="single" w:sz="4" w:space="0" w:color="auto"/>
              <w:bottom w:val="single" w:sz="4" w:space="0" w:color="auto"/>
              <w:right w:val="single" w:sz="4" w:space="0" w:color="auto"/>
            </w:tcBorders>
            <w:hideMark/>
          </w:tcPr>
          <w:p w14:paraId="02F23BAB" w14:textId="77777777" w:rsidR="009578B8" w:rsidRPr="00690A2E" w:rsidRDefault="009578B8" w:rsidP="008D1A26">
            <w:pPr>
              <w:spacing w:after="0"/>
              <w:rPr>
                <w:lang w:val="nl-NL"/>
              </w:rPr>
            </w:pPr>
            <w:r w:rsidRPr="00690A2E">
              <w:rPr>
                <w:lang w:val="sv-SE"/>
              </w:rPr>
              <w:t>Bàn giao bằng lời nói và văn bản viết đối với các thành viên trong nhóm chăm sóc về những vấn đề chăm sóc và hiệu quả chăm sóc trên người bệnh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1E7D10F" w14:textId="77777777" w:rsidR="009578B8" w:rsidRPr="00690A2E" w:rsidRDefault="009578B8" w:rsidP="008D1A26">
            <w:pPr>
              <w:spacing w:after="0"/>
            </w:pPr>
            <w:r>
              <w:t>C4</w:t>
            </w:r>
          </w:p>
        </w:tc>
      </w:tr>
      <w:tr w:rsidR="009578B8" w:rsidRPr="00690A2E" w14:paraId="1A6E17D8" w14:textId="77777777" w:rsidTr="008D1A26">
        <w:trPr>
          <w:trHeight w:val="574"/>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5FB437E7" w14:textId="77777777" w:rsidR="009578B8" w:rsidRPr="00690A2E" w:rsidRDefault="009578B8" w:rsidP="008D1A26">
            <w:pPr>
              <w:spacing w:after="0"/>
            </w:pPr>
            <w:r w:rsidRPr="00690A2E">
              <w:t>MT8</w:t>
            </w:r>
          </w:p>
        </w:tc>
        <w:tc>
          <w:tcPr>
            <w:tcW w:w="6828" w:type="dxa"/>
            <w:tcBorders>
              <w:top w:val="single" w:sz="4" w:space="0" w:color="auto"/>
              <w:left w:val="single" w:sz="4" w:space="0" w:color="auto"/>
              <w:bottom w:val="single" w:sz="4" w:space="0" w:color="auto"/>
              <w:right w:val="single" w:sz="4" w:space="0" w:color="auto"/>
            </w:tcBorders>
            <w:hideMark/>
          </w:tcPr>
          <w:p w14:paraId="1FD18006" w14:textId="77777777" w:rsidR="009578B8" w:rsidRPr="00690A2E" w:rsidRDefault="009578B8" w:rsidP="008D1A26">
            <w:pPr>
              <w:spacing w:after="0"/>
              <w:rPr>
                <w:lang w:val="nl-NL"/>
              </w:rPr>
            </w:pPr>
            <w:r w:rsidRPr="00690A2E">
              <w:rPr>
                <w:bCs/>
                <w:lang w:val="nl-NL"/>
              </w:rPr>
              <w:t>Áp dụng các nguyên lý về an toàn môi trường, kiểm soát nhiễm khuẩn và phòng ngừa thương tổn trong suốt quá trình chăm sóc cho người bệnh.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3291742" w14:textId="77777777" w:rsidR="009578B8" w:rsidRPr="00690A2E" w:rsidRDefault="009578B8" w:rsidP="008D1A26">
            <w:pPr>
              <w:spacing w:after="0"/>
            </w:pPr>
            <w:r>
              <w:t>C1</w:t>
            </w:r>
          </w:p>
        </w:tc>
      </w:tr>
      <w:tr w:rsidR="009578B8" w:rsidRPr="00690A2E" w14:paraId="44A7B888" w14:textId="77777777" w:rsidTr="008D1A26">
        <w:trPr>
          <w:trHeight w:val="574"/>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0C957D48" w14:textId="77777777" w:rsidR="009578B8" w:rsidRPr="00690A2E" w:rsidRDefault="009578B8" w:rsidP="008D1A26">
            <w:pPr>
              <w:spacing w:after="0"/>
            </w:pPr>
            <w:r w:rsidRPr="00690A2E">
              <w:t>MT9</w:t>
            </w:r>
          </w:p>
        </w:tc>
        <w:tc>
          <w:tcPr>
            <w:tcW w:w="6828" w:type="dxa"/>
            <w:tcBorders>
              <w:top w:val="single" w:sz="4" w:space="0" w:color="auto"/>
              <w:left w:val="single" w:sz="4" w:space="0" w:color="auto"/>
              <w:bottom w:val="single" w:sz="4" w:space="0" w:color="auto"/>
              <w:right w:val="single" w:sz="4" w:space="0" w:color="auto"/>
            </w:tcBorders>
            <w:hideMark/>
          </w:tcPr>
          <w:p w14:paraId="5DF3F564" w14:textId="77777777" w:rsidR="009578B8" w:rsidRPr="00690A2E" w:rsidRDefault="009578B8" w:rsidP="008D1A26">
            <w:pPr>
              <w:spacing w:after="0"/>
              <w:rPr>
                <w:lang w:val="nl-NL"/>
              </w:rPr>
            </w:pPr>
            <w:r w:rsidRPr="00690A2E">
              <w:rPr>
                <w:lang w:val="sv-SE"/>
              </w:rPr>
              <w:t>Thực hiện các kỹ năng chăm sóc cơ bản trong việc đáp ứng nhu cầu cơ bản cho người bệnh</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319ED0B" w14:textId="77777777" w:rsidR="009578B8" w:rsidRPr="00690A2E" w:rsidRDefault="009578B8" w:rsidP="008D1A26">
            <w:pPr>
              <w:spacing w:after="0"/>
            </w:pPr>
            <w:r w:rsidRPr="00690A2E">
              <w:t>C2</w:t>
            </w:r>
          </w:p>
        </w:tc>
      </w:tr>
      <w:tr w:rsidR="009578B8" w:rsidRPr="00690A2E" w14:paraId="2BC86CA4" w14:textId="77777777" w:rsidTr="008D1A26">
        <w:trPr>
          <w:trHeight w:val="574"/>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715F04DB" w14:textId="77777777" w:rsidR="009578B8" w:rsidRPr="00690A2E" w:rsidRDefault="009578B8" w:rsidP="008D1A26">
            <w:pPr>
              <w:spacing w:after="0"/>
            </w:pPr>
            <w:r w:rsidRPr="00690A2E">
              <w:t>MT10</w:t>
            </w:r>
          </w:p>
        </w:tc>
        <w:tc>
          <w:tcPr>
            <w:tcW w:w="6828" w:type="dxa"/>
            <w:tcBorders>
              <w:top w:val="single" w:sz="4" w:space="0" w:color="auto"/>
              <w:left w:val="single" w:sz="4" w:space="0" w:color="auto"/>
              <w:bottom w:val="single" w:sz="4" w:space="0" w:color="auto"/>
              <w:right w:val="single" w:sz="4" w:space="0" w:color="auto"/>
            </w:tcBorders>
            <w:vAlign w:val="center"/>
            <w:hideMark/>
          </w:tcPr>
          <w:p w14:paraId="654A4263" w14:textId="77777777" w:rsidR="009578B8" w:rsidRPr="00690A2E" w:rsidRDefault="009578B8" w:rsidP="008D1A26">
            <w:pPr>
              <w:spacing w:after="0"/>
              <w:rPr>
                <w:bCs/>
                <w:strike/>
                <w:lang w:val="nl-NL"/>
              </w:rPr>
            </w:pPr>
            <w:r w:rsidRPr="00690A2E">
              <w:rPr>
                <w:lang w:val="sv-SE"/>
              </w:rPr>
              <w:t>Lập kế hoạch xuất viện</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CE1C17B" w14:textId="77777777" w:rsidR="009578B8" w:rsidRPr="00690A2E" w:rsidRDefault="009578B8" w:rsidP="008D1A26">
            <w:pPr>
              <w:spacing w:after="0"/>
            </w:pPr>
            <w:r>
              <w:t>C1, C10</w:t>
            </w:r>
          </w:p>
        </w:tc>
      </w:tr>
      <w:tr w:rsidR="009578B8" w:rsidRPr="00690A2E" w14:paraId="7FD0A7A1" w14:textId="77777777" w:rsidTr="008D1A26">
        <w:trPr>
          <w:trHeight w:val="574"/>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42FCAB37" w14:textId="77777777" w:rsidR="009578B8" w:rsidRPr="00690A2E" w:rsidRDefault="009578B8" w:rsidP="008D1A26">
            <w:pPr>
              <w:spacing w:after="0"/>
            </w:pPr>
            <w:r w:rsidRPr="00690A2E">
              <w:t>MT11</w:t>
            </w:r>
          </w:p>
        </w:tc>
        <w:tc>
          <w:tcPr>
            <w:tcW w:w="6828" w:type="dxa"/>
            <w:tcBorders>
              <w:top w:val="single" w:sz="4" w:space="0" w:color="auto"/>
              <w:left w:val="single" w:sz="4" w:space="0" w:color="auto"/>
              <w:bottom w:val="single" w:sz="4" w:space="0" w:color="auto"/>
              <w:right w:val="single" w:sz="4" w:space="0" w:color="auto"/>
            </w:tcBorders>
            <w:vAlign w:val="center"/>
            <w:hideMark/>
          </w:tcPr>
          <w:p w14:paraId="72413C70" w14:textId="77777777" w:rsidR="009578B8" w:rsidRPr="00690A2E" w:rsidRDefault="009578B8" w:rsidP="008D1A26">
            <w:pPr>
              <w:spacing w:after="0"/>
              <w:rPr>
                <w:lang w:val="sv-SE"/>
              </w:rPr>
            </w:pPr>
            <w:r w:rsidRPr="00690A2E">
              <w:rPr>
                <w:lang w:val="sv-SE"/>
              </w:rPr>
              <w:t>Thể hiện sự hiểu biết và tự hào về nghề nghiệp điều dưỡng</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BB87E43" w14:textId="77777777" w:rsidR="009578B8" w:rsidRPr="00690A2E" w:rsidRDefault="009578B8" w:rsidP="008D1A26">
            <w:pPr>
              <w:spacing w:after="0"/>
            </w:pPr>
            <w:r w:rsidRPr="00690A2E">
              <w:t>C</w:t>
            </w:r>
            <w:r>
              <w:t xml:space="preserve">1, </w:t>
            </w:r>
            <w:r w:rsidRPr="00690A2E">
              <w:t>C10</w:t>
            </w:r>
          </w:p>
        </w:tc>
      </w:tr>
      <w:tr w:rsidR="009578B8" w:rsidRPr="00690A2E" w14:paraId="398B3CC9" w14:textId="77777777" w:rsidTr="008D1A26">
        <w:trPr>
          <w:trHeight w:val="574"/>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14:paraId="02BBBCC9" w14:textId="77777777" w:rsidR="009578B8" w:rsidRPr="00690A2E" w:rsidRDefault="009578B8" w:rsidP="008D1A26">
            <w:pPr>
              <w:spacing w:after="0"/>
            </w:pPr>
            <w:r w:rsidRPr="00690A2E">
              <w:t>MT12</w:t>
            </w:r>
          </w:p>
        </w:tc>
        <w:tc>
          <w:tcPr>
            <w:tcW w:w="6828" w:type="dxa"/>
            <w:tcBorders>
              <w:top w:val="single" w:sz="4" w:space="0" w:color="auto"/>
              <w:left w:val="single" w:sz="4" w:space="0" w:color="auto"/>
              <w:bottom w:val="single" w:sz="4" w:space="0" w:color="auto"/>
              <w:right w:val="single" w:sz="4" w:space="0" w:color="auto"/>
            </w:tcBorders>
            <w:vAlign w:val="center"/>
            <w:hideMark/>
          </w:tcPr>
          <w:p w14:paraId="774610B5" w14:textId="77777777" w:rsidR="009578B8" w:rsidRPr="00690A2E" w:rsidRDefault="009578B8" w:rsidP="008D1A26">
            <w:pPr>
              <w:spacing w:after="0"/>
              <w:rPr>
                <w:lang w:val="sv-SE"/>
              </w:rPr>
            </w:pPr>
            <w:r w:rsidRPr="00690A2E">
              <w:rPr>
                <w:lang w:val="sv-SE"/>
              </w:rPr>
              <w:t xml:space="preserve">Tôn trọng quyền lợi của người bệnh và người thân. </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5FBD79B" w14:textId="77777777" w:rsidR="009578B8" w:rsidRPr="00690A2E" w:rsidRDefault="009578B8" w:rsidP="008D1A26">
            <w:pPr>
              <w:spacing w:after="0"/>
            </w:pPr>
            <w:r w:rsidRPr="00690A2E">
              <w:t>C</w:t>
            </w:r>
            <w:r>
              <w:t>9</w:t>
            </w:r>
          </w:p>
        </w:tc>
      </w:tr>
      <w:tr w:rsidR="009578B8" w:rsidRPr="00690A2E" w14:paraId="590733E1" w14:textId="77777777" w:rsidTr="008D1A26">
        <w:trPr>
          <w:trHeight w:val="574"/>
          <w:jc w:val="center"/>
        </w:trPr>
        <w:tc>
          <w:tcPr>
            <w:tcW w:w="1050" w:type="dxa"/>
            <w:tcBorders>
              <w:top w:val="single" w:sz="4" w:space="0" w:color="auto"/>
              <w:left w:val="single" w:sz="4" w:space="0" w:color="auto"/>
              <w:bottom w:val="single" w:sz="4" w:space="0" w:color="auto"/>
              <w:right w:val="single" w:sz="4" w:space="0" w:color="auto"/>
            </w:tcBorders>
            <w:vAlign w:val="center"/>
          </w:tcPr>
          <w:p w14:paraId="2DA7BEF1" w14:textId="77777777" w:rsidR="009578B8" w:rsidRPr="004F1E12" w:rsidRDefault="009578B8" w:rsidP="008D1A26">
            <w:pPr>
              <w:spacing w:after="0"/>
            </w:pPr>
            <w:r w:rsidRPr="004F1E12">
              <w:rPr>
                <w:color w:val="000000"/>
              </w:rPr>
              <w:t>MT13</w:t>
            </w:r>
          </w:p>
        </w:tc>
        <w:tc>
          <w:tcPr>
            <w:tcW w:w="6828" w:type="dxa"/>
            <w:tcBorders>
              <w:top w:val="single" w:sz="4" w:space="0" w:color="auto"/>
              <w:left w:val="single" w:sz="4" w:space="0" w:color="auto"/>
              <w:bottom w:val="single" w:sz="4" w:space="0" w:color="auto"/>
              <w:right w:val="single" w:sz="4" w:space="0" w:color="auto"/>
            </w:tcBorders>
            <w:vAlign w:val="center"/>
          </w:tcPr>
          <w:p w14:paraId="1754E7D0" w14:textId="77777777" w:rsidR="009578B8" w:rsidRPr="004F1E12" w:rsidRDefault="009578B8" w:rsidP="008D1A26">
            <w:pPr>
              <w:spacing w:after="0"/>
              <w:rPr>
                <w:lang w:val="sv-SE"/>
              </w:rPr>
            </w:pPr>
            <w:r w:rsidRPr="004F1E12">
              <w:rPr>
                <w:color w:val="000000"/>
                <w:lang w:val="sv-SE"/>
              </w:rPr>
              <w:t xml:space="preserve">Trung thực khi làm việc nhóm, khi chăm sóc người bệnh. </w:t>
            </w:r>
          </w:p>
        </w:tc>
        <w:tc>
          <w:tcPr>
            <w:tcW w:w="1243" w:type="dxa"/>
            <w:tcBorders>
              <w:top w:val="single" w:sz="4" w:space="0" w:color="auto"/>
              <w:left w:val="single" w:sz="4" w:space="0" w:color="auto"/>
              <w:bottom w:val="single" w:sz="4" w:space="0" w:color="auto"/>
              <w:right w:val="single" w:sz="4" w:space="0" w:color="auto"/>
            </w:tcBorders>
            <w:vAlign w:val="center"/>
          </w:tcPr>
          <w:p w14:paraId="2F4DDC3F" w14:textId="77777777" w:rsidR="009578B8" w:rsidRPr="00690A2E" w:rsidRDefault="009578B8" w:rsidP="008D1A26">
            <w:pPr>
              <w:spacing w:after="0"/>
            </w:pPr>
            <w:r>
              <w:t>C9</w:t>
            </w:r>
          </w:p>
        </w:tc>
      </w:tr>
    </w:tbl>
    <w:p w14:paraId="045E1429" w14:textId="77777777" w:rsidR="009578B8" w:rsidRPr="00695359" w:rsidRDefault="009578B8" w:rsidP="009578B8">
      <w:pPr>
        <w:pStyle w:val="ListParagraph"/>
        <w:numPr>
          <w:ilvl w:val="0"/>
          <w:numId w:val="1"/>
        </w:numPr>
        <w:spacing w:line="276" w:lineRule="auto"/>
        <w:ind w:left="426"/>
        <w:rPr>
          <w:b/>
          <w:bCs/>
          <w:iCs/>
        </w:rPr>
      </w:pPr>
      <w:r w:rsidRPr="00695359">
        <w:rPr>
          <w:b/>
          <w:bCs/>
          <w:iCs/>
        </w:rPr>
        <w:t>Đánh giá môn học</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3100"/>
        <w:gridCol w:w="1847"/>
        <w:gridCol w:w="1298"/>
      </w:tblGrid>
      <w:tr w:rsidR="009578B8" w:rsidRPr="00690A2E" w14:paraId="1B8BFA8B" w14:textId="77777777" w:rsidTr="008D1A26">
        <w:trPr>
          <w:tblHeader/>
          <w:jc w:val="center"/>
        </w:trPr>
        <w:tc>
          <w:tcPr>
            <w:tcW w:w="2810" w:type="dxa"/>
            <w:tcBorders>
              <w:top w:val="single" w:sz="4" w:space="0" w:color="auto"/>
              <w:left w:val="single" w:sz="4" w:space="0" w:color="auto"/>
              <w:bottom w:val="single" w:sz="4" w:space="0" w:color="auto"/>
              <w:right w:val="single" w:sz="4" w:space="0" w:color="auto"/>
            </w:tcBorders>
            <w:vAlign w:val="center"/>
            <w:hideMark/>
          </w:tcPr>
          <w:p w14:paraId="28381F12" w14:textId="77777777" w:rsidR="009578B8" w:rsidRPr="00690A2E" w:rsidRDefault="009578B8" w:rsidP="008D1A26">
            <w:pPr>
              <w:spacing w:after="0"/>
              <w:rPr>
                <w:b/>
              </w:rPr>
            </w:pPr>
            <w:r w:rsidRPr="00690A2E">
              <w:rPr>
                <w:b/>
              </w:rPr>
              <w:t>Thành phần đánh giá</w:t>
            </w:r>
          </w:p>
        </w:tc>
        <w:tc>
          <w:tcPr>
            <w:tcW w:w="3100" w:type="dxa"/>
            <w:tcBorders>
              <w:top w:val="single" w:sz="4" w:space="0" w:color="auto"/>
              <w:left w:val="single" w:sz="4" w:space="0" w:color="auto"/>
              <w:bottom w:val="single" w:sz="4" w:space="0" w:color="auto"/>
              <w:right w:val="single" w:sz="4" w:space="0" w:color="auto"/>
            </w:tcBorders>
            <w:vAlign w:val="center"/>
            <w:hideMark/>
          </w:tcPr>
          <w:p w14:paraId="0C0CB588" w14:textId="77777777" w:rsidR="009578B8" w:rsidRPr="00690A2E" w:rsidRDefault="009578B8" w:rsidP="008D1A26">
            <w:pPr>
              <w:spacing w:after="0"/>
              <w:rPr>
                <w:b/>
              </w:rPr>
            </w:pPr>
            <w:r w:rsidRPr="00690A2E">
              <w:rPr>
                <w:b/>
              </w:rPr>
              <w:t>Bài đánh giá</w:t>
            </w:r>
          </w:p>
        </w:tc>
        <w:tc>
          <w:tcPr>
            <w:tcW w:w="1847" w:type="dxa"/>
            <w:tcBorders>
              <w:top w:val="single" w:sz="4" w:space="0" w:color="auto"/>
              <w:left w:val="single" w:sz="4" w:space="0" w:color="auto"/>
              <w:bottom w:val="single" w:sz="4" w:space="0" w:color="auto"/>
              <w:right w:val="single" w:sz="4" w:space="0" w:color="auto"/>
            </w:tcBorders>
            <w:vAlign w:val="center"/>
            <w:hideMark/>
          </w:tcPr>
          <w:p w14:paraId="5E9CDA87" w14:textId="77777777" w:rsidR="009578B8" w:rsidRPr="00690A2E" w:rsidRDefault="009578B8" w:rsidP="008D1A26">
            <w:pPr>
              <w:spacing w:after="0"/>
              <w:rPr>
                <w:b/>
              </w:rPr>
            </w:pPr>
            <w:r w:rsidRPr="00690A2E">
              <w:rPr>
                <w:b/>
              </w:rPr>
              <w:t xml:space="preserve">MT môn học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27848C1" w14:textId="77777777" w:rsidR="009578B8" w:rsidRPr="00690A2E" w:rsidRDefault="009578B8" w:rsidP="008D1A26">
            <w:pPr>
              <w:spacing w:after="0"/>
              <w:rPr>
                <w:b/>
              </w:rPr>
            </w:pPr>
            <w:r w:rsidRPr="00690A2E">
              <w:rPr>
                <w:b/>
              </w:rPr>
              <w:t>Tỷ lệ (%)</w:t>
            </w:r>
          </w:p>
        </w:tc>
      </w:tr>
      <w:tr w:rsidR="009578B8" w:rsidRPr="00690A2E" w14:paraId="539A5840" w14:textId="77777777" w:rsidTr="008D1A26">
        <w:trPr>
          <w:trHeight w:val="694"/>
          <w:jc w:val="center"/>
        </w:trPr>
        <w:tc>
          <w:tcPr>
            <w:tcW w:w="2810" w:type="dxa"/>
            <w:tcBorders>
              <w:top w:val="single" w:sz="4" w:space="0" w:color="auto"/>
              <w:left w:val="single" w:sz="4" w:space="0" w:color="auto"/>
              <w:bottom w:val="single" w:sz="4" w:space="0" w:color="auto"/>
              <w:right w:val="single" w:sz="4" w:space="0" w:color="auto"/>
            </w:tcBorders>
            <w:vAlign w:val="center"/>
            <w:hideMark/>
          </w:tcPr>
          <w:p w14:paraId="64176595" w14:textId="77777777" w:rsidR="009578B8" w:rsidRPr="00690A2E" w:rsidRDefault="009578B8" w:rsidP="008D1A26">
            <w:pPr>
              <w:spacing w:after="0"/>
            </w:pPr>
            <w:r w:rsidRPr="00690A2E">
              <w:t>A1. Đánh giá thường xuyên</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0A10315" w14:textId="77777777" w:rsidR="009578B8" w:rsidRPr="00690A2E" w:rsidRDefault="009578B8" w:rsidP="008D1A26">
            <w:pPr>
              <w:spacing w:after="0"/>
            </w:pPr>
            <w:r w:rsidRPr="00690A2E">
              <w:t>Tham gia hoạt động học tập trong lớp</w:t>
            </w:r>
          </w:p>
        </w:tc>
        <w:tc>
          <w:tcPr>
            <w:tcW w:w="1847" w:type="dxa"/>
            <w:tcBorders>
              <w:top w:val="single" w:sz="4" w:space="0" w:color="auto"/>
              <w:left w:val="single" w:sz="4" w:space="0" w:color="auto"/>
              <w:bottom w:val="single" w:sz="4" w:space="0" w:color="auto"/>
              <w:right w:val="single" w:sz="4" w:space="0" w:color="auto"/>
            </w:tcBorders>
            <w:vAlign w:val="center"/>
            <w:hideMark/>
          </w:tcPr>
          <w:p w14:paraId="6C00236E" w14:textId="77777777" w:rsidR="009578B8" w:rsidRPr="00690A2E" w:rsidRDefault="009578B8" w:rsidP="008D1A26">
            <w:pPr>
              <w:spacing w:after="0"/>
            </w:pPr>
            <w:r w:rsidRPr="00690A2E">
              <w:t>MT1 - MT12</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C5C14E4" w14:textId="77777777" w:rsidR="009578B8" w:rsidRPr="00690A2E" w:rsidRDefault="009578B8" w:rsidP="008D1A26">
            <w:pPr>
              <w:spacing w:after="0"/>
            </w:pPr>
            <w:r w:rsidRPr="00690A2E">
              <w:t>10%</w:t>
            </w:r>
          </w:p>
        </w:tc>
      </w:tr>
      <w:tr w:rsidR="009578B8" w:rsidRPr="00690A2E" w14:paraId="32DF2BDB" w14:textId="77777777" w:rsidTr="008D1A26">
        <w:trPr>
          <w:trHeight w:val="794"/>
          <w:jc w:val="center"/>
        </w:trPr>
        <w:tc>
          <w:tcPr>
            <w:tcW w:w="2810" w:type="dxa"/>
            <w:tcBorders>
              <w:top w:val="single" w:sz="4" w:space="0" w:color="auto"/>
              <w:left w:val="single" w:sz="4" w:space="0" w:color="auto"/>
              <w:bottom w:val="single" w:sz="4" w:space="0" w:color="auto"/>
              <w:right w:val="single" w:sz="4" w:space="0" w:color="auto"/>
            </w:tcBorders>
            <w:vAlign w:val="center"/>
            <w:hideMark/>
          </w:tcPr>
          <w:p w14:paraId="63387EE4" w14:textId="77777777" w:rsidR="009578B8" w:rsidRPr="00690A2E" w:rsidRDefault="009578B8" w:rsidP="008D1A26">
            <w:pPr>
              <w:spacing w:after="0"/>
            </w:pPr>
            <w:r w:rsidRPr="00690A2E">
              <w:t>A2. Đánh giá giữa kỳ</w:t>
            </w:r>
          </w:p>
        </w:tc>
        <w:tc>
          <w:tcPr>
            <w:tcW w:w="3100" w:type="dxa"/>
            <w:tcBorders>
              <w:top w:val="single" w:sz="4" w:space="0" w:color="auto"/>
              <w:left w:val="single" w:sz="4" w:space="0" w:color="auto"/>
              <w:bottom w:val="single" w:sz="4" w:space="0" w:color="auto"/>
              <w:right w:val="single" w:sz="4" w:space="0" w:color="auto"/>
            </w:tcBorders>
            <w:vAlign w:val="center"/>
            <w:hideMark/>
          </w:tcPr>
          <w:p w14:paraId="0968E366" w14:textId="77777777" w:rsidR="009578B8" w:rsidRPr="00030435" w:rsidRDefault="009578B8" w:rsidP="008D1A26">
            <w:pPr>
              <w:spacing w:after="0"/>
            </w:pPr>
            <w:r w:rsidRPr="00030435">
              <w:rPr>
                <w:color w:val="000000"/>
              </w:rPr>
              <w:t>Bài tập nhóm</w:t>
            </w:r>
          </w:p>
        </w:tc>
        <w:tc>
          <w:tcPr>
            <w:tcW w:w="1847" w:type="dxa"/>
            <w:tcBorders>
              <w:top w:val="single" w:sz="4" w:space="0" w:color="auto"/>
              <w:left w:val="single" w:sz="4" w:space="0" w:color="auto"/>
              <w:bottom w:val="single" w:sz="4" w:space="0" w:color="auto"/>
              <w:right w:val="single" w:sz="4" w:space="0" w:color="auto"/>
            </w:tcBorders>
            <w:vAlign w:val="center"/>
            <w:hideMark/>
          </w:tcPr>
          <w:p w14:paraId="17E8691E" w14:textId="77777777" w:rsidR="009578B8" w:rsidRPr="00690A2E" w:rsidRDefault="009578B8" w:rsidP="008D1A26">
            <w:pPr>
              <w:spacing w:after="0"/>
            </w:pPr>
            <w:r w:rsidRPr="00690A2E">
              <w:t>MT8,9 MT12</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A156C0E" w14:textId="77777777" w:rsidR="009578B8" w:rsidRPr="00690A2E" w:rsidRDefault="009578B8" w:rsidP="008D1A26">
            <w:pPr>
              <w:spacing w:after="0"/>
            </w:pPr>
            <w:r w:rsidRPr="00690A2E">
              <w:t>20%</w:t>
            </w:r>
          </w:p>
        </w:tc>
      </w:tr>
      <w:tr w:rsidR="009578B8" w:rsidRPr="00690A2E" w14:paraId="5625BB66" w14:textId="77777777" w:rsidTr="008D1A26">
        <w:trPr>
          <w:trHeight w:val="794"/>
          <w:jc w:val="center"/>
        </w:trPr>
        <w:tc>
          <w:tcPr>
            <w:tcW w:w="2810" w:type="dxa"/>
            <w:tcBorders>
              <w:top w:val="single" w:sz="4" w:space="0" w:color="auto"/>
              <w:left w:val="single" w:sz="4" w:space="0" w:color="auto"/>
              <w:bottom w:val="single" w:sz="4" w:space="0" w:color="auto"/>
              <w:right w:val="single" w:sz="4" w:space="0" w:color="auto"/>
            </w:tcBorders>
            <w:vAlign w:val="center"/>
            <w:hideMark/>
          </w:tcPr>
          <w:p w14:paraId="36A23113" w14:textId="77777777" w:rsidR="009578B8" w:rsidRPr="00690A2E" w:rsidRDefault="009578B8" w:rsidP="008D1A26">
            <w:pPr>
              <w:spacing w:after="0"/>
            </w:pPr>
            <w:r w:rsidRPr="00690A2E">
              <w:t>A3. Đánh giá cuối kỳ</w:t>
            </w:r>
          </w:p>
        </w:tc>
        <w:tc>
          <w:tcPr>
            <w:tcW w:w="3100" w:type="dxa"/>
            <w:tcBorders>
              <w:top w:val="single" w:sz="4" w:space="0" w:color="auto"/>
              <w:left w:val="single" w:sz="4" w:space="0" w:color="auto"/>
              <w:bottom w:val="single" w:sz="4" w:space="0" w:color="auto"/>
              <w:right w:val="single" w:sz="4" w:space="0" w:color="auto"/>
            </w:tcBorders>
            <w:vAlign w:val="center"/>
            <w:hideMark/>
          </w:tcPr>
          <w:p w14:paraId="07416871" w14:textId="77777777" w:rsidR="009578B8" w:rsidRPr="00030435" w:rsidRDefault="009578B8" w:rsidP="008D1A26">
            <w:pPr>
              <w:spacing w:after="0"/>
            </w:pPr>
            <w:r w:rsidRPr="00030435">
              <w:rPr>
                <w:color w:val="000000"/>
              </w:rPr>
              <w:t>Thi cuối kỳ trắc nghiệm</w:t>
            </w:r>
          </w:p>
        </w:tc>
        <w:tc>
          <w:tcPr>
            <w:tcW w:w="1847" w:type="dxa"/>
            <w:tcBorders>
              <w:top w:val="single" w:sz="4" w:space="0" w:color="auto"/>
              <w:left w:val="single" w:sz="4" w:space="0" w:color="auto"/>
              <w:bottom w:val="single" w:sz="4" w:space="0" w:color="auto"/>
              <w:right w:val="single" w:sz="4" w:space="0" w:color="auto"/>
            </w:tcBorders>
            <w:vAlign w:val="center"/>
            <w:hideMark/>
          </w:tcPr>
          <w:p w14:paraId="735075EA" w14:textId="77777777" w:rsidR="009578B8" w:rsidRPr="00690A2E" w:rsidRDefault="009578B8" w:rsidP="008D1A26">
            <w:pPr>
              <w:spacing w:after="0"/>
            </w:pPr>
            <w:r w:rsidRPr="00690A2E">
              <w:t>MT1 - MT12</w:t>
            </w:r>
          </w:p>
        </w:tc>
        <w:tc>
          <w:tcPr>
            <w:tcW w:w="1298" w:type="dxa"/>
            <w:tcBorders>
              <w:top w:val="single" w:sz="4" w:space="0" w:color="auto"/>
              <w:left w:val="single" w:sz="4" w:space="0" w:color="auto"/>
              <w:bottom w:val="single" w:sz="4" w:space="0" w:color="auto"/>
              <w:right w:val="single" w:sz="4" w:space="0" w:color="auto"/>
            </w:tcBorders>
            <w:vAlign w:val="center"/>
            <w:hideMark/>
          </w:tcPr>
          <w:p w14:paraId="70C87B0E" w14:textId="77777777" w:rsidR="009578B8" w:rsidRPr="00690A2E" w:rsidRDefault="009578B8" w:rsidP="008D1A26">
            <w:pPr>
              <w:spacing w:after="0"/>
            </w:pPr>
            <w:r w:rsidRPr="00690A2E">
              <w:rPr>
                <w:lang w:val="vi-VN"/>
              </w:rPr>
              <w:t>7</w:t>
            </w:r>
            <w:r w:rsidRPr="00690A2E">
              <w:t>0%</w:t>
            </w:r>
          </w:p>
        </w:tc>
      </w:tr>
    </w:tbl>
    <w:p w14:paraId="009326E1" w14:textId="77777777" w:rsidR="009578B8" w:rsidRPr="00690A2E" w:rsidRDefault="009578B8" w:rsidP="004E08BF">
      <w:pPr>
        <w:spacing w:after="0"/>
        <w:ind w:firstLine="426"/>
        <w:rPr>
          <w:bCs/>
          <w:lang w:val="vi-VN"/>
        </w:rPr>
      </w:pPr>
      <w:r w:rsidRPr="00690A2E">
        <w:rPr>
          <w:bCs/>
          <w:lang w:val="vi-VN"/>
        </w:rPr>
        <w:t>Sinh viên phải tham dự đầy đủ các buổi học thực hành.</w:t>
      </w:r>
    </w:p>
    <w:p w14:paraId="28472BA7" w14:textId="77777777" w:rsidR="009578B8" w:rsidRPr="00690A2E" w:rsidRDefault="009578B8" w:rsidP="004E08BF">
      <w:pPr>
        <w:spacing w:after="0"/>
        <w:ind w:firstLine="426"/>
        <w:rPr>
          <w:bCs/>
          <w:lang w:val="vi-VN"/>
        </w:rPr>
      </w:pPr>
      <w:r w:rsidRPr="00690A2E">
        <w:rPr>
          <w:lang w:val="vi-VN"/>
        </w:rPr>
        <w:t xml:space="preserve">Học </w:t>
      </w:r>
      <w:r w:rsidRPr="00690A2E">
        <w:rPr>
          <w:bCs/>
          <w:lang w:val="vi-VN"/>
        </w:rPr>
        <w:t>viên đủ điều kiện dự thi cuối kỳ khi không vắng quá 20% tổng số tiết lý thuyết, tham dự đầy đủ các buổi học thực hành của môn học và hoàn thành các bài đánh giá giữa kỳ</w:t>
      </w:r>
    </w:p>
    <w:p w14:paraId="4D627C10" w14:textId="77777777" w:rsidR="009578B8" w:rsidRPr="00690A2E" w:rsidRDefault="009578B8" w:rsidP="004E08BF">
      <w:pPr>
        <w:spacing w:after="0"/>
        <w:ind w:firstLine="426"/>
        <w:rPr>
          <w:lang w:val="vi-VN"/>
        </w:rPr>
      </w:pPr>
      <w:r w:rsidRPr="00690A2E">
        <w:rPr>
          <w:lang w:val="vi-VN"/>
        </w:rPr>
        <w:t>Điểm đánh giá bộ phận và điểm thi kết thúc môn học được chấm theo thang điểm 10 (từ 0 đến 10), làm tròn đến một chữ số thập phân.</w:t>
      </w:r>
    </w:p>
    <w:p w14:paraId="563E4159" w14:textId="77777777" w:rsidR="009578B8" w:rsidRPr="00690A2E" w:rsidRDefault="009578B8" w:rsidP="004E08BF">
      <w:pPr>
        <w:spacing w:after="0"/>
        <w:ind w:firstLine="426"/>
        <w:rPr>
          <w:bCs/>
          <w:lang w:val="vi-VN"/>
        </w:rPr>
      </w:pPr>
      <w:r w:rsidRPr="00690A2E">
        <w:rPr>
          <w:lang w:val="vi-VN"/>
        </w:rPr>
        <w:t xml:space="preserve">Điểm </w:t>
      </w:r>
      <w:r w:rsidRPr="00690A2E">
        <w:rPr>
          <w:bCs/>
          <w:lang w:val="vi-VN"/>
        </w:rPr>
        <w:t>môn học được tính bằng tổng các điểm đánh giá quá trình (A1 + A2 = 30%) và đánh giá cuối kỳ/ thi kết thúc môn học (A3= 70%).</w:t>
      </w:r>
    </w:p>
    <w:p w14:paraId="2D5DD916" w14:textId="77777777" w:rsidR="009578B8" w:rsidRPr="00690A2E" w:rsidRDefault="009578B8" w:rsidP="004E08BF">
      <w:pPr>
        <w:spacing w:after="0"/>
        <w:ind w:firstLine="426"/>
        <w:rPr>
          <w:bCs/>
          <w:lang w:val="vi-VN"/>
        </w:rPr>
      </w:pPr>
      <w:r w:rsidRPr="00690A2E">
        <w:rPr>
          <w:lang w:val="vi-VN"/>
        </w:rPr>
        <w:t>Điểm thi kết thúc môn học là bắt buộc cho mọi đối tượng.</w:t>
      </w:r>
    </w:p>
    <w:p w14:paraId="045DEE19" w14:textId="77777777" w:rsidR="009578B8" w:rsidRPr="00690A2E" w:rsidRDefault="009578B8" w:rsidP="004E08BF">
      <w:pPr>
        <w:spacing w:after="0"/>
        <w:ind w:firstLine="426"/>
        <w:rPr>
          <w:lang w:val="vi-VN"/>
        </w:rPr>
      </w:pPr>
      <w:r w:rsidRPr="00690A2E">
        <w:rPr>
          <w:lang w:val="vi-VN"/>
        </w:rPr>
        <w:t>Điểm môn học làm tròn đến một chữ số thập phân, sinh viên được đánh giá:</w:t>
      </w:r>
    </w:p>
    <w:p w14:paraId="2283E50A" w14:textId="77777777" w:rsidR="009578B8" w:rsidRPr="00690A2E" w:rsidRDefault="009578B8" w:rsidP="004E08BF">
      <w:pPr>
        <w:spacing w:after="0"/>
        <w:ind w:firstLine="709"/>
        <w:rPr>
          <w:lang w:val="vi-VN"/>
        </w:rPr>
      </w:pPr>
      <w:r w:rsidRPr="00690A2E">
        <w:rPr>
          <w:lang w:val="vi-VN"/>
        </w:rPr>
        <w:t xml:space="preserve">+ Đạt khi điểm tổng kết môn học  </w:t>
      </w:r>
      <w:r w:rsidRPr="00690A2E">
        <w:rPr>
          <w:u w:val="single"/>
          <w:lang w:val="vi-VN"/>
        </w:rPr>
        <w:t>&gt;</w:t>
      </w:r>
      <w:r w:rsidRPr="00690A2E">
        <w:rPr>
          <w:lang w:val="vi-VN"/>
        </w:rPr>
        <w:t xml:space="preserve"> 4.0 </w:t>
      </w:r>
    </w:p>
    <w:p w14:paraId="38F66DB3" w14:textId="77777777" w:rsidR="009578B8" w:rsidRPr="00690A2E" w:rsidRDefault="009578B8" w:rsidP="004E08BF">
      <w:pPr>
        <w:spacing w:after="0"/>
        <w:ind w:firstLine="709"/>
      </w:pPr>
      <w:r w:rsidRPr="00690A2E">
        <w:rPr>
          <w:lang w:val="en-SG"/>
        </w:rPr>
        <w:t>+ K</w:t>
      </w:r>
      <w:r w:rsidRPr="00690A2E">
        <w:t>hông đạt nếu &lt; 4,0.</w:t>
      </w:r>
    </w:p>
    <w:p w14:paraId="60DB474A" w14:textId="77777777" w:rsidR="009578B8" w:rsidRPr="00695359" w:rsidRDefault="009578B8" w:rsidP="009578B8">
      <w:pPr>
        <w:pStyle w:val="ListParagraph"/>
        <w:numPr>
          <w:ilvl w:val="0"/>
          <w:numId w:val="1"/>
        </w:numPr>
        <w:spacing w:line="276" w:lineRule="auto"/>
        <w:ind w:left="426"/>
        <w:rPr>
          <w:b/>
          <w:bCs/>
          <w:iCs/>
        </w:rPr>
      </w:pPr>
      <w:r w:rsidRPr="00695359">
        <w:rPr>
          <w:b/>
          <w:bCs/>
          <w:iCs/>
        </w:rPr>
        <w:t>Nội dung giảng dạy</w:t>
      </w:r>
    </w:p>
    <w:p w14:paraId="574AC4DD" w14:textId="77777777" w:rsidR="009578B8" w:rsidRPr="00690A2E" w:rsidRDefault="009578B8" w:rsidP="009578B8">
      <w:pPr>
        <w:spacing w:after="0"/>
        <w:rPr>
          <w:b/>
          <w:i/>
        </w:rPr>
      </w:pPr>
      <w:r w:rsidRPr="00690A2E">
        <w:rPr>
          <w:b/>
          <w:i/>
        </w:rPr>
        <w:t>Lý thuyết</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720"/>
        <w:gridCol w:w="720"/>
        <w:gridCol w:w="1379"/>
        <w:gridCol w:w="1682"/>
      </w:tblGrid>
      <w:tr w:rsidR="009578B8" w:rsidRPr="00690A2E" w14:paraId="20E17DDD" w14:textId="77777777" w:rsidTr="008D1A26">
        <w:trPr>
          <w:tblHeader/>
          <w:jc w:val="center"/>
        </w:trPr>
        <w:tc>
          <w:tcPr>
            <w:tcW w:w="5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F2A19" w14:textId="77777777" w:rsidR="009578B8" w:rsidRPr="00690A2E" w:rsidRDefault="009578B8" w:rsidP="008D1A26">
            <w:pPr>
              <w:spacing w:after="0"/>
              <w:jc w:val="center"/>
              <w:rPr>
                <w:b/>
                <w:lang w:val="sv-SE"/>
              </w:rPr>
            </w:pPr>
            <w:r w:rsidRPr="00690A2E">
              <w:rPr>
                <w:b/>
              </w:rPr>
              <w:t>Nội dung</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AEFCCA" w14:textId="77777777" w:rsidR="009578B8" w:rsidRPr="00690A2E" w:rsidRDefault="009578B8" w:rsidP="008D1A26">
            <w:pPr>
              <w:spacing w:after="0"/>
            </w:pPr>
            <w:r w:rsidRPr="00690A2E">
              <w:rPr>
                <w:b/>
              </w:rPr>
              <w:t>Số tiết</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4A6F3" w14:textId="77777777" w:rsidR="009578B8" w:rsidRPr="00690A2E" w:rsidRDefault="009578B8" w:rsidP="008D1A26">
            <w:pPr>
              <w:spacing w:after="0"/>
            </w:pPr>
            <w:r w:rsidRPr="00690A2E">
              <w:rPr>
                <w:b/>
              </w:rPr>
              <w:t>Mục tiêu</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5A2C0" w14:textId="77777777" w:rsidR="009578B8" w:rsidRPr="00690A2E" w:rsidRDefault="009578B8" w:rsidP="008D1A26">
            <w:pPr>
              <w:spacing w:after="0"/>
            </w:pPr>
            <w:r w:rsidRPr="00690A2E">
              <w:rPr>
                <w:b/>
              </w:rPr>
              <w:t>Bài đánh giá</w:t>
            </w:r>
          </w:p>
        </w:tc>
      </w:tr>
      <w:tr w:rsidR="009578B8" w:rsidRPr="00690A2E" w14:paraId="7BB460CB" w14:textId="77777777" w:rsidTr="008D1A26">
        <w:trPr>
          <w:tblHeader/>
          <w:jc w:val="center"/>
        </w:trPr>
        <w:tc>
          <w:tcPr>
            <w:tcW w:w="5008" w:type="dxa"/>
            <w:vMerge/>
            <w:tcBorders>
              <w:top w:val="single" w:sz="4" w:space="0" w:color="auto"/>
              <w:left w:val="single" w:sz="4" w:space="0" w:color="auto"/>
              <w:bottom w:val="single" w:sz="4" w:space="0" w:color="auto"/>
              <w:right w:val="single" w:sz="4" w:space="0" w:color="auto"/>
            </w:tcBorders>
            <w:vAlign w:val="center"/>
            <w:hideMark/>
          </w:tcPr>
          <w:p w14:paraId="05A64029" w14:textId="77777777" w:rsidR="009578B8" w:rsidRPr="00690A2E" w:rsidRDefault="009578B8" w:rsidP="008D1A26">
            <w:pPr>
              <w:spacing w:after="0"/>
              <w:rPr>
                <w:b/>
                <w:lang w:val="sv-SE"/>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1333" w14:textId="77777777" w:rsidR="009578B8" w:rsidRPr="00690A2E" w:rsidRDefault="009578B8" w:rsidP="008D1A26">
            <w:pPr>
              <w:spacing w:after="0"/>
            </w:pPr>
            <w:r w:rsidRPr="00690A2E">
              <w:rPr>
                <w:b/>
              </w:rPr>
              <w:t>Lên lớp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56F1C" w14:textId="77777777" w:rsidR="009578B8" w:rsidRPr="00690A2E" w:rsidRDefault="009578B8" w:rsidP="008D1A26">
            <w:pPr>
              <w:spacing w:after="0"/>
            </w:pPr>
            <w:r w:rsidRPr="00690A2E">
              <w:rPr>
                <w:b/>
              </w:rPr>
              <w:t>Tự học</w:t>
            </w: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50844802" w14:textId="77777777" w:rsidR="009578B8" w:rsidRPr="00690A2E" w:rsidRDefault="009578B8" w:rsidP="008D1A26">
            <w:pPr>
              <w:spacing w:after="0"/>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7DCB4F76" w14:textId="77777777" w:rsidR="009578B8" w:rsidRPr="00690A2E" w:rsidRDefault="009578B8" w:rsidP="008D1A26">
            <w:pPr>
              <w:spacing w:after="0"/>
            </w:pPr>
          </w:p>
        </w:tc>
      </w:tr>
      <w:tr w:rsidR="009578B8" w:rsidRPr="00690A2E" w14:paraId="0688B66F" w14:textId="77777777" w:rsidTr="008D1A26">
        <w:trPr>
          <w:jc w:val="center"/>
        </w:trPr>
        <w:tc>
          <w:tcPr>
            <w:tcW w:w="5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2408F" w14:textId="77777777" w:rsidR="009578B8" w:rsidRPr="00690A2E" w:rsidRDefault="009578B8" w:rsidP="008D1A26">
            <w:pPr>
              <w:spacing w:after="0"/>
              <w:rPr>
                <w:b/>
                <w:lang w:val="sv-SE"/>
              </w:rPr>
            </w:pPr>
            <w:r w:rsidRPr="00690A2E">
              <w:rPr>
                <w:bCs/>
                <w:lang w:val="sv-SE"/>
              </w:rPr>
              <w:t>1. Lịch sử điều dưỡng, Định hướng nghề nghiệp điều dưỡng</w:t>
            </w:r>
          </w:p>
        </w:tc>
        <w:tc>
          <w:tcPr>
            <w:tcW w:w="720" w:type="dxa"/>
            <w:tcBorders>
              <w:top w:val="single" w:sz="4" w:space="0" w:color="auto"/>
              <w:left w:val="single" w:sz="4" w:space="0" w:color="auto"/>
              <w:right w:val="single" w:sz="4" w:space="0" w:color="auto"/>
            </w:tcBorders>
            <w:shd w:val="clear" w:color="auto" w:fill="auto"/>
            <w:vAlign w:val="center"/>
            <w:hideMark/>
          </w:tcPr>
          <w:p w14:paraId="55A38EAE" w14:textId="77777777" w:rsidR="009578B8" w:rsidRPr="00690A2E" w:rsidRDefault="009578B8" w:rsidP="008D1A26">
            <w:pPr>
              <w:spacing w:after="0"/>
            </w:pPr>
            <w:r w:rsidRPr="00690A2E">
              <w:t>2</w:t>
            </w:r>
          </w:p>
        </w:tc>
        <w:tc>
          <w:tcPr>
            <w:tcW w:w="720" w:type="dxa"/>
            <w:tcBorders>
              <w:top w:val="single" w:sz="4" w:space="0" w:color="auto"/>
              <w:left w:val="single" w:sz="4" w:space="0" w:color="auto"/>
              <w:right w:val="single" w:sz="4" w:space="0" w:color="auto"/>
            </w:tcBorders>
            <w:shd w:val="clear" w:color="auto" w:fill="auto"/>
            <w:vAlign w:val="center"/>
            <w:hideMark/>
          </w:tcPr>
          <w:p w14:paraId="7EA59627" w14:textId="77777777" w:rsidR="009578B8" w:rsidRPr="00690A2E" w:rsidRDefault="009578B8" w:rsidP="008D1A26">
            <w:pPr>
              <w:spacing w:after="0"/>
            </w:pPr>
            <w:r w:rsidRPr="00690A2E">
              <w:t>4</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E5A6B" w14:textId="77777777" w:rsidR="009578B8" w:rsidRPr="00690A2E" w:rsidRDefault="009578B8" w:rsidP="008D1A26">
            <w:pPr>
              <w:spacing w:after="0"/>
            </w:pPr>
            <w:r w:rsidRPr="00690A2E">
              <w:t>MT1 MT12</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F8546" w14:textId="77777777" w:rsidR="009578B8" w:rsidRPr="00690A2E" w:rsidRDefault="009578B8" w:rsidP="008D1A26">
            <w:pPr>
              <w:spacing w:after="0"/>
            </w:pPr>
            <w:r w:rsidRPr="00690A2E">
              <w:t>A1, A2, A3</w:t>
            </w:r>
          </w:p>
        </w:tc>
      </w:tr>
      <w:tr w:rsidR="009578B8" w:rsidRPr="00690A2E" w14:paraId="1E0E6441" w14:textId="77777777" w:rsidTr="008D1A26">
        <w:trPr>
          <w:jc w:val="center"/>
        </w:trPr>
        <w:tc>
          <w:tcPr>
            <w:tcW w:w="5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B784C" w14:textId="77777777" w:rsidR="009578B8" w:rsidRPr="00690A2E" w:rsidRDefault="009578B8" w:rsidP="008D1A26">
            <w:pPr>
              <w:spacing w:after="0"/>
              <w:rPr>
                <w:bCs/>
                <w:lang w:val="sv-SE"/>
              </w:rPr>
            </w:pPr>
            <w:r w:rsidRPr="00690A2E">
              <w:rPr>
                <w:bCs/>
                <w:lang w:val="sv-SE"/>
              </w:rPr>
              <w:t xml:space="preserve">2. </w:t>
            </w:r>
            <w:r w:rsidRPr="00690A2E">
              <w:rPr>
                <w:bCs/>
              </w:rPr>
              <w:t>Tiêu chuẩn năng lực của người điều dưỡng chuyên nghiệp; Vai trò, chức năng và nhiệm vụ của điều dưỡng chuyên nghiệp</w:t>
            </w:r>
          </w:p>
        </w:tc>
        <w:tc>
          <w:tcPr>
            <w:tcW w:w="720" w:type="dxa"/>
            <w:tcBorders>
              <w:top w:val="single" w:sz="4" w:space="0" w:color="auto"/>
              <w:left w:val="single" w:sz="4" w:space="0" w:color="auto"/>
              <w:right w:val="single" w:sz="4" w:space="0" w:color="auto"/>
            </w:tcBorders>
            <w:shd w:val="clear" w:color="auto" w:fill="auto"/>
            <w:vAlign w:val="center"/>
            <w:hideMark/>
          </w:tcPr>
          <w:p w14:paraId="29D2C963" w14:textId="77777777" w:rsidR="009578B8" w:rsidRPr="00690A2E" w:rsidRDefault="009578B8" w:rsidP="008D1A26">
            <w:pPr>
              <w:spacing w:after="0"/>
            </w:pPr>
            <w:r w:rsidRPr="00690A2E">
              <w:t>2</w:t>
            </w:r>
          </w:p>
        </w:tc>
        <w:tc>
          <w:tcPr>
            <w:tcW w:w="720" w:type="dxa"/>
            <w:tcBorders>
              <w:top w:val="single" w:sz="4" w:space="0" w:color="auto"/>
              <w:left w:val="single" w:sz="4" w:space="0" w:color="auto"/>
              <w:right w:val="single" w:sz="4" w:space="0" w:color="auto"/>
            </w:tcBorders>
            <w:shd w:val="clear" w:color="auto" w:fill="auto"/>
            <w:vAlign w:val="center"/>
            <w:hideMark/>
          </w:tcPr>
          <w:p w14:paraId="1684A346" w14:textId="77777777" w:rsidR="009578B8" w:rsidRPr="00690A2E" w:rsidRDefault="009578B8" w:rsidP="008D1A26">
            <w:pPr>
              <w:spacing w:after="0"/>
            </w:pPr>
            <w:r w:rsidRPr="00690A2E">
              <w:t>4</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872C4" w14:textId="77777777" w:rsidR="009578B8" w:rsidRPr="00690A2E" w:rsidRDefault="009578B8" w:rsidP="008D1A26">
            <w:pPr>
              <w:spacing w:after="0"/>
            </w:pPr>
            <w:r w:rsidRPr="00690A2E">
              <w:t>MT3</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CE34" w14:textId="77777777" w:rsidR="009578B8" w:rsidRPr="00690A2E" w:rsidRDefault="009578B8" w:rsidP="008D1A26">
            <w:pPr>
              <w:spacing w:after="0"/>
            </w:pPr>
            <w:r w:rsidRPr="00690A2E">
              <w:t>A1, A2, A3</w:t>
            </w:r>
          </w:p>
        </w:tc>
      </w:tr>
      <w:tr w:rsidR="009578B8" w:rsidRPr="00690A2E" w14:paraId="69CAC651" w14:textId="77777777" w:rsidTr="008D1A26">
        <w:trPr>
          <w:jc w:val="center"/>
        </w:trPr>
        <w:tc>
          <w:tcPr>
            <w:tcW w:w="5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8D068" w14:textId="77777777" w:rsidR="009578B8" w:rsidRPr="00690A2E" w:rsidRDefault="009578B8" w:rsidP="008D1A26">
            <w:pPr>
              <w:spacing w:after="0"/>
              <w:rPr>
                <w:bCs/>
              </w:rPr>
            </w:pPr>
            <w:r w:rsidRPr="00690A2E">
              <w:rPr>
                <w:bCs/>
                <w:lang w:val="sv-SE"/>
              </w:rPr>
              <w:t xml:space="preserve">3. </w:t>
            </w:r>
            <w:r w:rsidRPr="00690A2E">
              <w:rPr>
                <w:bCs/>
                <w:spacing w:val="-2"/>
              </w:rPr>
              <w:t xml:space="preserve">Học thuyết điều dưỡng và thực hành diều dưỡng; </w:t>
            </w:r>
            <w:r w:rsidRPr="00690A2E">
              <w:rPr>
                <w:bCs/>
              </w:rPr>
              <w:t>Nhu cầu cơ bản của con người; Sự ảnh hưởng của môi trường đến sức khỏe</w:t>
            </w:r>
          </w:p>
        </w:tc>
        <w:tc>
          <w:tcPr>
            <w:tcW w:w="720" w:type="dxa"/>
            <w:tcBorders>
              <w:top w:val="single" w:sz="4" w:space="0" w:color="auto"/>
              <w:left w:val="single" w:sz="4" w:space="0" w:color="auto"/>
              <w:right w:val="single" w:sz="4" w:space="0" w:color="auto"/>
            </w:tcBorders>
            <w:shd w:val="clear" w:color="auto" w:fill="auto"/>
            <w:vAlign w:val="center"/>
            <w:hideMark/>
          </w:tcPr>
          <w:p w14:paraId="1DCFE180" w14:textId="77777777" w:rsidR="009578B8" w:rsidRPr="00690A2E" w:rsidRDefault="009578B8" w:rsidP="008D1A26">
            <w:pPr>
              <w:spacing w:after="0"/>
            </w:pPr>
            <w:r w:rsidRPr="00690A2E">
              <w:t>4</w:t>
            </w:r>
          </w:p>
        </w:tc>
        <w:tc>
          <w:tcPr>
            <w:tcW w:w="720" w:type="dxa"/>
            <w:tcBorders>
              <w:top w:val="single" w:sz="4" w:space="0" w:color="auto"/>
              <w:left w:val="single" w:sz="4" w:space="0" w:color="auto"/>
              <w:right w:val="single" w:sz="4" w:space="0" w:color="auto"/>
            </w:tcBorders>
            <w:shd w:val="clear" w:color="auto" w:fill="auto"/>
            <w:vAlign w:val="center"/>
            <w:hideMark/>
          </w:tcPr>
          <w:p w14:paraId="4B0ABC6C" w14:textId="77777777" w:rsidR="009578B8" w:rsidRPr="00690A2E" w:rsidRDefault="009578B8" w:rsidP="008D1A26">
            <w:pPr>
              <w:spacing w:after="0"/>
            </w:pPr>
            <w:r w:rsidRPr="00690A2E">
              <w:t>8</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B5BAA" w14:textId="77777777" w:rsidR="009578B8" w:rsidRPr="00690A2E" w:rsidRDefault="009578B8" w:rsidP="008D1A26">
            <w:pPr>
              <w:spacing w:after="0"/>
            </w:pPr>
            <w:r w:rsidRPr="00690A2E">
              <w:t>MT2 MT5</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88031" w14:textId="77777777" w:rsidR="009578B8" w:rsidRPr="00690A2E" w:rsidRDefault="009578B8" w:rsidP="008D1A26">
            <w:pPr>
              <w:spacing w:after="0"/>
            </w:pPr>
            <w:r w:rsidRPr="00690A2E">
              <w:t>A1, A2, A3</w:t>
            </w:r>
          </w:p>
        </w:tc>
      </w:tr>
      <w:tr w:rsidR="009578B8" w:rsidRPr="00690A2E" w14:paraId="5D86CBE4" w14:textId="77777777" w:rsidTr="008D1A26">
        <w:trPr>
          <w:jc w:val="center"/>
        </w:trPr>
        <w:tc>
          <w:tcPr>
            <w:tcW w:w="5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0E8F" w14:textId="77777777" w:rsidR="009578B8" w:rsidRPr="00690A2E" w:rsidRDefault="009578B8" w:rsidP="008D1A26">
            <w:pPr>
              <w:spacing w:after="0"/>
              <w:rPr>
                <w:bCs/>
                <w:lang w:val="sv-SE"/>
              </w:rPr>
            </w:pPr>
            <w:r w:rsidRPr="00690A2E">
              <w:rPr>
                <w:bCs/>
              </w:rPr>
              <w:t xml:space="preserve">4. </w:t>
            </w:r>
            <w:r w:rsidRPr="00690A2E">
              <w:t>Qui trình APIE và ứng dụng qui trình APIE vào qui trình chăm sóc người bệnh</w:t>
            </w:r>
          </w:p>
        </w:tc>
        <w:tc>
          <w:tcPr>
            <w:tcW w:w="720" w:type="dxa"/>
            <w:tcBorders>
              <w:top w:val="single" w:sz="4" w:space="0" w:color="auto"/>
              <w:left w:val="single" w:sz="4" w:space="0" w:color="auto"/>
              <w:right w:val="single" w:sz="4" w:space="0" w:color="auto"/>
            </w:tcBorders>
            <w:shd w:val="clear" w:color="auto" w:fill="auto"/>
            <w:vAlign w:val="center"/>
            <w:hideMark/>
          </w:tcPr>
          <w:p w14:paraId="2C664477" w14:textId="77777777" w:rsidR="009578B8" w:rsidRPr="00690A2E" w:rsidRDefault="009578B8" w:rsidP="008D1A26">
            <w:pPr>
              <w:spacing w:after="0"/>
            </w:pPr>
            <w:r w:rsidRPr="00690A2E">
              <w:t>4</w:t>
            </w:r>
          </w:p>
        </w:tc>
        <w:tc>
          <w:tcPr>
            <w:tcW w:w="720" w:type="dxa"/>
            <w:tcBorders>
              <w:top w:val="single" w:sz="4" w:space="0" w:color="auto"/>
              <w:left w:val="single" w:sz="4" w:space="0" w:color="auto"/>
              <w:right w:val="single" w:sz="4" w:space="0" w:color="auto"/>
            </w:tcBorders>
            <w:shd w:val="clear" w:color="auto" w:fill="auto"/>
            <w:vAlign w:val="center"/>
            <w:hideMark/>
          </w:tcPr>
          <w:p w14:paraId="6A5D4BC4" w14:textId="77777777" w:rsidR="009578B8" w:rsidRPr="00690A2E" w:rsidRDefault="009578B8" w:rsidP="008D1A26">
            <w:pPr>
              <w:spacing w:after="0"/>
            </w:pPr>
            <w:r w:rsidRPr="00690A2E">
              <w:t>8</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0836F" w14:textId="77777777" w:rsidR="009578B8" w:rsidRPr="00690A2E" w:rsidRDefault="009578B8" w:rsidP="008D1A26">
            <w:pPr>
              <w:spacing w:after="0"/>
            </w:pPr>
            <w:r w:rsidRPr="00690A2E">
              <w:t xml:space="preserve"> MT4, 8, 9, 11 - 13</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EFC03" w14:textId="77777777" w:rsidR="009578B8" w:rsidRPr="00690A2E" w:rsidRDefault="009578B8" w:rsidP="008D1A26">
            <w:pPr>
              <w:spacing w:after="0"/>
            </w:pPr>
            <w:r w:rsidRPr="00690A2E">
              <w:t>A1, A2, A3</w:t>
            </w:r>
          </w:p>
        </w:tc>
      </w:tr>
      <w:tr w:rsidR="009578B8" w:rsidRPr="00690A2E" w14:paraId="11CAFC9E" w14:textId="77777777" w:rsidTr="008D1A26">
        <w:trPr>
          <w:jc w:val="center"/>
        </w:trPr>
        <w:tc>
          <w:tcPr>
            <w:tcW w:w="5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8CAA3" w14:textId="77777777" w:rsidR="009578B8" w:rsidRPr="00690A2E" w:rsidRDefault="009578B8" w:rsidP="008D1A26">
            <w:pPr>
              <w:spacing w:after="0"/>
              <w:rPr>
                <w:bCs/>
              </w:rPr>
            </w:pPr>
            <w:r w:rsidRPr="00690A2E">
              <w:rPr>
                <w:bCs/>
              </w:rPr>
              <w:t xml:space="preserve">5. </w:t>
            </w:r>
            <w:r w:rsidRPr="00690A2E">
              <w:rPr>
                <w:lang w:val="sv-SE"/>
              </w:rPr>
              <w:t>Vệ sinh cá nhân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29CC4" w14:textId="77777777" w:rsidR="009578B8" w:rsidRPr="00690A2E" w:rsidRDefault="009578B8" w:rsidP="008D1A26">
            <w:pPr>
              <w:spacing w:after="0"/>
            </w:pPr>
            <w:r w:rsidRPr="00690A2E">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E4F8" w14:textId="77777777" w:rsidR="009578B8" w:rsidRPr="00690A2E" w:rsidRDefault="009578B8" w:rsidP="008D1A26">
            <w:pPr>
              <w:spacing w:after="0"/>
            </w:pPr>
            <w:r w:rsidRPr="00690A2E">
              <w:t>8</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C8CD" w14:textId="77777777" w:rsidR="009578B8" w:rsidRPr="00690A2E" w:rsidRDefault="009578B8" w:rsidP="008D1A26">
            <w:pPr>
              <w:spacing w:after="0"/>
            </w:pPr>
            <w:r w:rsidRPr="00690A2E">
              <w:t>MT2, 4</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4179F" w14:textId="77777777" w:rsidR="009578B8" w:rsidRPr="00690A2E" w:rsidRDefault="009578B8" w:rsidP="008D1A26">
            <w:pPr>
              <w:spacing w:after="0"/>
            </w:pPr>
            <w:r w:rsidRPr="00690A2E">
              <w:t>A1, A2, A3</w:t>
            </w:r>
          </w:p>
        </w:tc>
      </w:tr>
      <w:tr w:rsidR="009578B8" w:rsidRPr="00690A2E" w14:paraId="22ADE693" w14:textId="77777777" w:rsidTr="008D1A26">
        <w:trPr>
          <w:jc w:val="center"/>
        </w:trPr>
        <w:tc>
          <w:tcPr>
            <w:tcW w:w="5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9E24F" w14:textId="77777777" w:rsidR="009578B8" w:rsidRPr="00690A2E" w:rsidRDefault="009578B8" w:rsidP="008D1A26">
            <w:pPr>
              <w:spacing w:after="0"/>
              <w:rPr>
                <w:bCs/>
              </w:rPr>
            </w:pPr>
            <w:r w:rsidRPr="00690A2E">
              <w:rPr>
                <w:bCs/>
              </w:rPr>
              <w:t xml:space="preserve">6. </w:t>
            </w:r>
            <w:r w:rsidRPr="00690A2E">
              <w:t>Chăm sóc giấc ngủ và nghỉ ngơi hợp lý</w:t>
            </w:r>
          </w:p>
        </w:tc>
        <w:tc>
          <w:tcPr>
            <w:tcW w:w="720" w:type="dxa"/>
            <w:tcBorders>
              <w:top w:val="single" w:sz="4" w:space="0" w:color="auto"/>
              <w:left w:val="single" w:sz="4" w:space="0" w:color="auto"/>
              <w:right w:val="single" w:sz="4" w:space="0" w:color="auto"/>
            </w:tcBorders>
            <w:shd w:val="clear" w:color="auto" w:fill="auto"/>
            <w:vAlign w:val="center"/>
            <w:hideMark/>
          </w:tcPr>
          <w:p w14:paraId="347BD148" w14:textId="77777777" w:rsidR="009578B8" w:rsidRPr="00690A2E" w:rsidRDefault="009578B8" w:rsidP="008D1A26">
            <w:pPr>
              <w:spacing w:after="0"/>
            </w:pPr>
            <w:r w:rsidRPr="00690A2E">
              <w:t>2</w:t>
            </w:r>
          </w:p>
        </w:tc>
        <w:tc>
          <w:tcPr>
            <w:tcW w:w="720" w:type="dxa"/>
            <w:tcBorders>
              <w:top w:val="single" w:sz="4" w:space="0" w:color="auto"/>
              <w:left w:val="single" w:sz="4" w:space="0" w:color="auto"/>
              <w:right w:val="single" w:sz="4" w:space="0" w:color="auto"/>
            </w:tcBorders>
            <w:shd w:val="clear" w:color="auto" w:fill="auto"/>
            <w:vAlign w:val="center"/>
            <w:hideMark/>
          </w:tcPr>
          <w:p w14:paraId="0D18962B" w14:textId="77777777" w:rsidR="009578B8" w:rsidRPr="00690A2E" w:rsidRDefault="009578B8" w:rsidP="008D1A26">
            <w:pPr>
              <w:spacing w:after="0"/>
            </w:pPr>
            <w:r w:rsidRPr="00690A2E">
              <w:t>4</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5AF64" w14:textId="77777777" w:rsidR="009578B8" w:rsidRPr="00690A2E" w:rsidRDefault="009578B8" w:rsidP="008D1A26">
            <w:pPr>
              <w:spacing w:after="0"/>
            </w:pPr>
            <w:r w:rsidRPr="00690A2E">
              <w:t>MT2, 4</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6328C" w14:textId="77777777" w:rsidR="009578B8" w:rsidRPr="00690A2E" w:rsidRDefault="009578B8" w:rsidP="008D1A26">
            <w:pPr>
              <w:spacing w:after="0"/>
            </w:pPr>
            <w:r w:rsidRPr="00690A2E">
              <w:t>A1, A2, A3</w:t>
            </w:r>
          </w:p>
        </w:tc>
      </w:tr>
      <w:tr w:rsidR="009578B8" w:rsidRPr="00690A2E" w14:paraId="6749E244" w14:textId="77777777" w:rsidTr="008D1A26">
        <w:trPr>
          <w:jc w:val="center"/>
        </w:trPr>
        <w:tc>
          <w:tcPr>
            <w:tcW w:w="5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36B59" w14:textId="77777777" w:rsidR="009578B8" w:rsidRPr="00690A2E" w:rsidRDefault="009578B8" w:rsidP="008D1A26">
            <w:pPr>
              <w:spacing w:after="0"/>
              <w:rPr>
                <w:bCs/>
              </w:rPr>
            </w:pPr>
            <w:r w:rsidRPr="00690A2E">
              <w:rPr>
                <w:bCs/>
              </w:rPr>
              <w:t>7. Chăm sóc người bệnh giai đoạn cuối</w:t>
            </w:r>
          </w:p>
        </w:tc>
        <w:tc>
          <w:tcPr>
            <w:tcW w:w="720" w:type="dxa"/>
            <w:tcBorders>
              <w:top w:val="single" w:sz="4" w:space="0" w:color="auto"/>
              <w:left w:val="single" w:sz="4" w:space="0" w:color="auto"/>
              <w:right w:val="single" w:sz="4" w:space="0" w:color="auto"/>
            </w:tcBorders>
            <w:shd w:val="clear" w:color="auto" w:fill="auto"/>
            <w:vAlign w:val="center"/>
            <w:hideMark/>
          </w:tcPr>
          <w:p w14:paraId="5AE9F5EB" w14:textId="77777777" w:rsidR="009578B8" w:rsidRPr="00690A2E" w:rsidRDefault="009578B8" w:rsidP="008D1A26">
            <w:pPr>
              <w:spacing w:after="0"/>
            </w:pPr>
            <w:r w:rsidRPr="00690A2E">
              <w:t>2</w:t>
            </w:r>
          </w:p>
        </w:tc>
        <w:tc>
          <w:tcPr>
            <w:tcW w:w="720" w:type="dxa"/>
            <w:tcBorders>
              <w:top w:val="single" w:sz="4" w:space="0" w:color="auto"/>
              <w:left w:val="single" w:sz="4" w:space="0" w:color="auto"/>
              <w:right w:val="single" w:sz="4" w:space="0" w:color="auto"/>
            </w:tcBorders>
            <w:shd w:val="clear" w:color="auto" w:fill="auto"/>
            <w:vAlign w:val="center"/>
            <w:hideMark/>
          </w:tcPr>
          <w:p w14:paraId="5C8C283D" w14:textId="77777777" w:rsidR="009578B8" w:rsidRPr="00690A2E" w:rsidRDefault="009578B8" w:rsidP="008D1A26">
            <w:pPr>
              <w:spacing w:after="0"/>
            </w:pPr>
            <w:r w:rsidRPr="00690A2E">
              <w:t>4</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08D45" w14:textId="77777777" w:rsidR="009578B8" w:rsidRPr="00690A2E" w:rsidRDefault="009578B8" w:rsidP="008D1A26">
            <w:pPr>
              <w:spacing w:after="0"/>
            </w:pPr>
            <w:r w:rsidRPr="00690A2E">
              <w:t>MT2,4</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85321" w14:textId="77777777" w:rsidR="009578B8" w:rsidRPr="00690A2E" w:rsidRDefault="009578B8" w:rsidP="008D1A26">
            <w:pPr>
              <w:spacing w:after="0"/>
            </w:pPr>
            <w:r w:rsidRPr="00690A2E">
              <w:t>A1, A2, A3</w:t>
            </w:r>
          </w:p>
        </w:tc>
      </w:tr>
      <w:tr w:rsidR="009578B8" w:rsidRPr="00690A2E" w14:paraId="2E921CD1" w14:textId="77777777" w:rsidTr="008D1A26">
        <w:trPr>
          <w:jc w:val="center"/>
        </w:trPr>
        <w:tc>
          <w:tcPr>
            <w:tcW w:w="5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A3D45" w14:textId="77777777" w:rsidR="009578B8" w:rsidRPr="00690A2E" w:rsidRDefault="009578B8" w:rsidP="008D1A26">
            <w:pPr>
              <w:spacing w:after="0"/>
            </w:pPr>
            <w:r w:rsidRPr="00690A2E">
              <w:rPr>
                <w:bCs/>
              </w:rPr>
              <w:t xml:space="preserve">8. </w:t>
            </w:r>
            <w:r w:rsidRPr="00690A2E">
              <w:t>Đánh giá chức năng sinh lý</w:t>
            </w:r>
          </w:p>
        </w:tc>
        <w:tc>
          <w:tcPr>
            <w:tcW w:w="720" w:type="dxa"/>
            <w:tcBorders>
              <w:top w:val="single" w:sz="4" w:space="0" w:color="auto"/>
              <w:left w:val="single" w:sz="4" w:space="0" w:color="auto"/>
              <w:right w:val="single" w:sz="4" w:space="0" w:color="auto"/>
            </w:tcBorders>
            <w:shd w:val="clear" w:color="auto" w:fill="auto"/>
            <w:vAlign w:val="center"/>
            <w:hideMark/>
          </w:tcPr>
          <w:p w14:paraId="248D4F7E" w14:textId="77777777" w:rsidR="009578B8" w:rsidRPr="00690A2E" w:rsidRDefault="009578B8" w:rsidP="008D1A26">
            <w:pPr>
              <w:spacing w:after="0"/>
            </w:pPr>
            <w:r w:rsidRPr="00690A2E">
              <w:t>3</w:t>
            </w:r>
          </w:p>
        </w:tc>
        <w:tc>
          <w:tcPr>
            <w:tcW w:w="720" w:type="dxa"/>
            <w:tcBorders>
              <w:top w:val="single" w:sz="4" w:space="0" w:color="auto"/>
              <w:left w:val="single" w:sz="4" w:space="0" w:color="auto"/>
              <w:right w:val="single" w:sz="4" w:space="0" w:color="auto"/>
            </w:tcBorders>
            <w:shd w:val="clear" w:color="auto" w:fill="auto"/>
            <w:vAlign w:val="center"/>
            <w:hideMark/>
          </w:tcPr>
          <w:p w14:paraId="5C2F5CEE" w14:textId="77777777" w:rsidR="009578B8" w:rsidRPr="00690A2E" w:rsidRDefault="009578B8" w:rsidP="008D1A26">
            <w:pPr>
              <w:spacing w:after="0"/>
            </w:pPr>
            <w:r w:rsidRPr="00690A2E">
              <w:t>6</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CED3B" w14:textId="77777777" w:rsidR="009578B8" w:rsidRPr="00690A2E" w:rsidRDefault="009578B8" w:rsidP="008D1A26">
            <w:pPr>
              <w:spacing w:after="0"/>
            </w:pPr>
            <w:r w:rsidRPr="00690A2E">
              <w:t>MT6</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5B0F3" w14:textId="77777777" w:rsidR="009578B8" w:rsidRPr="00690A2E" w:rsidRDefault="009578B8" w:rsidP="008D1A26">
            <w:pPr>
              <w:spacing w:after="0"/>
            </w:pPr>
            <w:r w:rsidRPr="00690A2E">
              <w:t>A1, A2, A3</w:t>
            </w:r>
          </w:p>
        </w:tc>
      </w:tr>
      <w:tr w:rsidR="009578B8" w:rsidRPr="00690A2E" w14:paraId="77D30F23" w14:textId="77777777" w:rsidTr="008D1A26">
        <w:trPr>
          <w:jc w:val="center"/>
        </w:trPr>
        <w:tc>
          <w:tcPr>
            <w:tcW w:w="5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83CCB" w14:textId="77777777" w:rsidR="009578B8" w:rsidRPr="00690A2E" w:rsidRDefault="009578B8" w:rsidP="008D1A26">
            <w:pPr>
              <w:spacing w:after="0"/>
            </w:pPr>
            <w:r w:rsidRPr="00690A2E">
              <w:t>9. Thăm khám thể chất</w:t>
            </w:r>
          </w:p>
        </w:tc>
        <w:tc>
          <w:tcPr>
            <w:tcW w:w="720" w:type="dxa"/>
            <w:tcBorders>
              <w:top w:val="single" w:sz="4" w:space="0" w:color="auto"/>
              <w:left w:val="single" w:sz="4" w:space="0" w:color="auto"/>
              <w:right w:val="single" w:sz="4" w:space="0" w:color="auto"/>
            </w:tcBorders>
            <w:shd w:val="clear" w:color="auto" w:fill="auto"/>
            <w:vAlign w:val="center"/>
          </w:tcPr>
          <w:p w14:paraId="57F0FA6E" w14:textId="77777777" w:rsidR="009578B8" w:rsidRPr="00690A2E" w:rsidRDefault="009578B8" w:rsidP="008D1A26">
            <w:pPr>
              <w:spacing w:after="0"/>
            </w:pPr>
            <w:r w:rsidRPr="00690A2E">
              <w:t>4</w:t>
            </w:r>
          </w:p>
        </w:tc>
        <w:tc>
          <w:tcPr>
            <w:tcW w:w="720" w:type="dxa"/>
            <w:tcBorders>
              <w:top w:val="single" w:sz="4" w:space="0" w:color="auto"/>
              <w:left w:val="single" w:sz="4" w:space="0" w:color="auto"/>
              <w:right w:val="single" w:sz="4" w:space="0" w:color="auto"/>
            </w:tcBorders>
            <w:shd w:val="clear" w:color="auto" w:fill="auto"/>
            <w:vAlign w:val="center"/>
          </w:tcPr>
          <w:p w14:paraId="52C44120" w14:textId="77777777" w:rsidR="009578B8" w:rsidRPr="00690A2E" w:rsidRDefault="009578B8" w:rsidP="008D1A26">
            <w:pPr>
              <w:spacing w:after="0"/>
            </w:pPr>
            <w:r w:rsidRPr="00690A2E">
              <w:t>8</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496F" w14:textId="77777777" w:rsidR="009578B8" w:rsidRPr="00690A2E" w:rsidRDefault="009578B8" w:rsidP="008D1A26">
            <w:pPr>
              <w:spacing w:after="0"/>
            </w:pPr>
            <w:r w:rsidRPr="00690A2E">
              <w:t>MT6</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4F4DF" w14:textId="77777777" w:rsidR="009578B8" w:rsidRPr="00690A2E" w:rsidRDefault="009578B8" w:rsidP="008D1A26">
            <w:pPr>
              <w:spacing w:after="0"/>
            </w:pPr>
            <w:r w:rsidRPr="00690A2E">
              <w:t>A1, A2, A3</w:t>
            </w:r>
          </w:p>
        </w:tc>
      </w:tr>
      <w:tr w:rsidR="009578B8" w:rsidRPr="00690A2E" w14:paraId="370421EC" w14:textId="77777777" w:rsidTr="008D1A26">
        <w:trPr>
          <w:jc w:val="center"/>
        </w:trPr>
        <w:tc>
          <w:tcPr>
            <w:tcW w:w="5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A2EE" w14:textId="77777777" w:rsidR="009578B8" w:rsidRPr="00690A2E" w:rsidRDefault="009578B8" w:rsidP="008D1A26">
            <w:pPr>
              <w:spacing w:after="0"/>
            </w:pPr>
            <w:r w:rsidRPr="00690A2E">
              <w:rPr>
                <w:lang w:val="sv-SE"/>
              </w:rPr>
              <w:t xml:space="preserve">10. </w:t>
            </w:r>
            <w:r w:rsidRPr="00690A2E">
              <w:t xml:space="preserve">Cách tiếp nhận người bệnh vào viện, chuyển viện, </w:t>
            </w:r>
            <w:r w:rsidRPr="00690A2E">
              <w:rPr>
                <w:bCs/>
              </w:rPr>
              <w:t>xuất viên;</w:t>
            </w:r>
            <w:r w:rsidRPr="00690A2E">
              <w:t xml:space="preserve"> Hồ sơ chăm sóc người bệnh và cách ghi chép</w:t>
            </w:r>
          </w:p>
        </w:tc>
        <w:tc>
          <w:tcPr>
            <w:tcW w:w="720" w:type="dxa"/>
            <w:tcBorders>
              <w:top w:val="single" w:sz="4" w:space="0" w:color="auto"/>
              <w:left w:val="single" w:sz="4" w:space="0" w:color="auto"/>
              <w:right w:val="single" w:sz="4" w:space="0" w:color="auto"/>
            </w:tcBorders>
            <w:shd w:val="clear" w:color="auto" w:fill="auto"/>
            <w:vAlign w:val="center"/>
            <w:hideMark/>
          </w:tcPr>
          <w:p w14:paraId="3B8F6FFC" w14:textId="77777777" w:rsidR="009578B8" w:rsidRPr="00690A2E" w:rsidRDefault="009578B8" w:rsidP="008D1A26">
            <w:pPr>
              <w:spacing w:after="0"/>
            </w:pPr>
            <w:r w:rsidRPr="00690A2E">
              <w:t>3</w:t>
            </w:r>
          </w:p>
        </w:tc>
        <w:tc>
          <w:tcPr>
            <w:tcW w:w="720" w:type="dxa"/>
            <w:tcBorders>
              <w:top w:val="single" w:sz="4" w:space="0" w:color="auto"/>
              <w:left w:val="single" w:sz="4" w:space="0" w:color="auto"/>
              <w:right w:val="single" w:sz="4" w:space="0" w:color="auto"/>
            </w:tcBorders>
            <w:shd w:val="clear" w:color="auto" w:fill="auto"/>
            <w:vAlign w:val="center"/>
            <w:hideMark/>
          </w:tcPr>
          <w:p w14:paraId="08C7E334" w14:textId="77777777" w:rsidR="009578B8" w:rsidRPr="00690A2E" w:rsidRDefault="009578B8" w:rsidP="008D1A26">
            <w:pPr>
              <w:spacing w:after="0"/>
            </w:pPr>
            <w:r w:rsidRPr="00690A2E">
              <w:t>6</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3EE65" w14:textId="77777777" w:rsidR="009578B8" w:rsidRPr="00690A2E" w:rsidRDefault="009578B8" w:rsidP="008D1A26">
            <w:pPr>
              <w:spacing w:after="0"/>
            </w:pPr>
            <w:r w:rsidRPr="00690A2E">
              <w:t>MT7,10</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D94D9" w14:textId="77777777" w:rsidR="009578B8" w:rsidRPr="00690A2E" w:rsidRDefault="009578B8" w:rsidP="008D1A26">
            <w:pPr>
              <w:spacing w:after="0"/>
            </w:pPr>
            <w:r w:rsidRPr="00690A2E">
              <w:t>A1, A2, A3</w:t>
            </w:r>
          </w:p>
        </w:tc>
      </w:tr>
      <w:tr w:rsidR="009578B8" w:rsidRPr="00690A2E" w14:paraId="2DABE59C" w14:textId="77777777" w:rsidTr="008D1A26">
        <w:trPr>
          <w:jc w:val="center"/>
        </w:trPr>
        <w:tc>
          <w:tcPr>
            <w:tcW w:w="5008" w:type="dxa"/>
            <w:tcBorders>
              <w:top w:val="single" w:sz="4" w:space="0" w:color="auto"/>
              <w:left w:val="single" w:sz="4" w:space="0" w:color="auto"/>
              <w:bottom w:val="single" w:sz="4" w:space="0" w:color="auto"/>
              <w:right w:val="single" w:sz="4" w:space="0" w:color="auto"/>
            </w:tcBorders>
            <w:vAlign w:val="center"/>
            <w:hideMark/>
          </w:tcPr>
          <w:p w14:paraId="34963373" w14:textId="77777777" w:rsidR="009578B8" w:rsidRPr="00690A2E" w:rsidRDefault="009578B8" w:rsidP="008D1A26">
            <w:pPr>
              <w:spacing w:after="0"/>
              <w:rPr>
                <w:b/>
              </w:rPr>
            </w:pPr>
            <w:r w:rsidRPr="00690A2E">
              <w:rPr>
                <w:b/>
              </w:rPr>
              <w:t>Tổng</w:t>
            </w:r>
          </w:p>
        </w:tc>
        <w:tc>
          <w:tcPr>
            <w:tcW w:w="720" w:type="dxa"/>
            <w:tcBorders>
              <w:top w:val="single" w:sz="4" w:space="0" w:color="auto"/>
              <w:left w:val="single" w:sz="4" w:space="0" w:color="auto"/>
              <w:bottom w:val="single" w:sz="4" w:space="0" w:color="auto"/>
              <w:right w:val="single" w:sz="4" w:space="0" w:color="auto"/>
            </w:tcBorders>
            <w:vAlign w:val="center"/>
            <w:hideMark/>
          </w:tcPr>
          <w:p w14:paraId="01409F05" w14:textId="77777777" w:rsidR="009578B8" w:rsidRPr="00690A2E" w:rsidRDefault="009578B8" w:rsidP="008D1A26">
            <w:pPr>
              <w:spacing w:after="0"/>
              <w:rPr>
                <w:b/>
              </w:rPr>
            </w:pPr>
            <w:r w:rsidRPr="00690A2E">
              <w:rPr>
                <w:b/>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72126EF" w14:textId="77777777" w:rsidR="009578B8" w:rsidRPr="00690A2E" w:rsidRDefault="009578B8" w:rsidP="008D1A26">
            <w:pPr>
              <w:spacing w:after="0"/>
              <w:rPr>
                <w:b/>
              </w:rPr>
            </w:pPr>
            <w:r w:rsidRPr="00690A2E">
              <w:rPr>
                <w:b/>
              </w:rPr>
              <w:t>60</w:t>
            </w:r>
          </w:p>
        </w:tc>
        <w:tc>
          <w:tcPr>
            <w:tcW w:w="1379" w:type="dxa"/>
            <w:tcBorders>
              <w:top w:val="single" w:sz="4" w:space="0" w:color="auto"/>
              <w:left w:val="single" w:sz="4" w:space="0" w:color="auto"/>
              <w:bottom w:val="single" w:sz="4" w:space="0" w:color="auto"/>
              <w:right w:val="single" w:sz="4" w:space="0" w:color="auto"/>
            </w:tcBorders>
            <w:vAlign w:val="center"/>
          </w:tcPr>
          <w:p w14:paraId="3DDF676E" w14:textId="77777777" w:rsidR="009578B8" w:rsidRPr="00690A2E" w:rsidRDefault="009578B8" w:rsidP="008D1A26">
            <w:pPr>
              <w:spacing w:after="0"/>
            </w:pPr>
          </w:p>
        </w:tc>
        <w:tc>
          <w:tcPr>
            <w:tcW w:w="1682" w:type="dxa"/>
            <w:tcBorders>
              <w:top w:val="single" w:sz="4" w:space="0" w:color="auto"/>
              <w:left w:val="single" w:sz="4" w:space="0" w:color="auto"/>
              <w:bottom w:val="single" w:sz="4" w:space="0" w:color="auto"/>
              <w:right w:val="single" w:sz="4" w:space="0" w:color="auto"/>
            </w:tcBorders>
            <w:vAlign w:val="center"/>
          </w:tcPr>
          <w:p w14:paraId="3E8FCCAD" w14:textId="77777777" w:rsidR="009578B8" w:rsidRPr="00690A2E" w:rsidRDefault="009578B8" w:rsidP="008D1A26">
            <w:pPr>
              <w:spacing w:after="0"/>
            </w:pPr>
          </w:p>
        </w:tc>
      </w:tr>
    </w:tbl>
    <w:p w14:paraId="36946691" w14:textId="77777777" w:rsidR="009578B8" w:rsidRPr="00695359" w:rsidRDefault="009578B8" w:rsidP="009578B8">
      <w:pPr>
        <w:pStyle w:val="ListParagraph"/>
        <w:numPr>
          <w:ilvl w:val="0"/>
          <w:numId w:val="1"/>
        </w:numPr>
        <w:spacing w:line="276" w:lineRule="auto"/>
        <w:ind w:left="426"/>
        <w:rPr>
          <w:b/>
          <w:bCs/>
          <w:iCs/>
        </w:rPr>
      </w:pPr>
      <w:r w:rsidRPr="00695359">
        <w:rPr>
          <w:b/>
          <w:bCs/>
          <w:iCs/>
        </w:rPr>
        <w:t>Quy định của môn học</w:t>
      </w:r>
    </w:p>
    <w:p w14:paraId="762F9ACB" w14:textId="77777777" w:rsidR="009578B8" w:rsidRPr="00690A2E" w:rsidRDefault="009578B8" w:rsidP="009578B8">
      <w:pPr>
        <w:spacing w:after="0"/>
      </w:pPr>
      <w:r w:rsidRPr="00690A2E">
        <w:t xml:space="preserve">Sinh viên phải chuẩn bị bài trước khi tham dự buổi học </w:t>
      </w:r>
      <w:r w:rsidRPr="00690A2E">
        <w:rPr>
          <w:strike/>
        </w:rPr>
        <w:t>thực hành</w:t>
      </w:r>
      <w:r w:rsidRPr="00690A2E">
        <w:t>: đọc tài liệu, chuẩn bị bài theo yêu cầu môn học</w:t>
      </w:r>
      <w:r w:rsidRPr="00690A2E">
        <w:rPr>
          <w:lang w:val="nl-NL"/>
        </w:rPr>
        <w:t>.</w:t>
      </w:r>
    </w:p>
    <w:p w14:paraId="1B5260F3" w14:textId="77777777" w:rsidR="009578B8" w:rsidRPr="00690A2E" w:rsidRDefault="009578B8" w:rsidP="009578B8">
      <w:pPr>
        <w:spacing w:after="0"/>
      </w:pPr>
      <w:r w:rsidRPr="00690A2E">
        <w:t xml:space="preserve">Sinh viên phải tham gia phát biểu, hoạt động thường xuyên trong lớp. </w:t>
      </w:r>
    </w:p>
    <w:p w14:paraId="425DFFDA" w14:textId="77777777" w:rsidR="009578B8" w:rsidRPr="00690A2E" w:rsidRDefault="009578B8" w:rsidP="009578B8">
      <w:pPr>
        <w:spacing w:after="0"/>
      </w:pPr>
      <w:r w:rsidRPr="00690A2E">
        <w:t xml:space="preserve">Sinh viên phải hoàn thành đủ 100% tổng số bài tập được giao và nộp đúng thời hạn. Không hoàn thành phần nào thì phần đó được đánh giá là không điểm (0đ) </w:t>
      </w:r>
    </w:p>
    <w:p w14:paraId="2B2D232A" w14:textId="77777777" w:rsidR="009578B8" w:rsidRPr="00690A2E" w:rsidRDefault="009578B8" w:rsidP="009578B8">
      <w:pPr>
        <w:spacing w:after="0"/>
      </w:pPr>
      <w:r w:rsidRPr="00690A2E">
        <w:rPr>
          <w:bCs/>
          <w:lang w:val="vi-VN"/>
        </w:rPr>
        <w:t xml:space="preserve">Sinh viên không đủ điều kiện dự thi cuối môn khi điểm đánh giá quá trình </w:t>
      </w:r>
      <w:r w:rsidRPr="00690A2E">
        <w:rPr>
          <w:bCs/>
          <w:lang w:val="en-SG"/>
        </w:rPr>
        <w:t xml:space="preserve">( A 1 + A 2) &lt; </w:t>
      </w:r>
      <w:r w:rsidRPr="00690A2E">
        <w:rPr>
          <w:lang w:val="vi-VN"/>
        </w:rPr>
        <w:t>15%</w:t>
      </w:r>
    </w:p>
    <w:p w14:paraId="7DAADB58" w14:textId="77777777" w:rsidR="009578B8" w:rsidRPr="00690A2E" w:rsidRDefault="009578B8" w:rsidP="009578B8">
      <w:pPr>
        <w:spacing w:after="0"/>
      </w:pPr>
      <w:r w:rsidRPr="00690A2E">
        <w:t>Sinh viên vắng mặt trong kỳ thi kết thúc môn học, nếu không có lý do chính đáng coi như đã dự thi lần một và phải nhận điểm 0 ở kỳ thi chính. Những sinh viên này khi được trưởng khoa cho phép được dự thi một lần ở kỳ thi phụ ngay sau đó (nếu có).</w:t>
      </w:r>
    </w:p>
    <w:p w14:paraId="1EADBE0D" w14:textId="77777777" w:rsidR="009578B8" w:rsidRPr="00690A2E" w:rsidRDefault="009578B8" w:rsidP="009578B8">
      <w:pPr>
        <w:spacing w:after="0"/>
      </w:pPr>
      <w:r w:rsidRPr="00690A2E">
        <w:t>Sinh viên vắng mặt có lý do chính đáng ở kỳ thi chính, nếu được trưởng khoa cho phép, được dự thi ở kỳ thi phụ ngay sau đó (nếu có), điểm thi kết thúc môn học được coi là điểm thi lần đầu. Trường hợp không có kỳ thi phụ hoặc thi không đạt trong kỳ thi phụ, những sinh viên này sẽ phải dự thi tại các kỳ thi kết thúc môn học ở các học kỳ sau hoặc học kỳ phụ.</w:t>
      </w:r>
    </w:p>
    <w:p w14:paraId="0A60AE9A" w14:textId="77777777" w:rsidR="009578B8" w:rsidRPr="00695359" w:rsidRDefault="009578B8" w:rsidP="009578B8">
      <w:pPr>
        <w:pStyle w:val="ListParagraph"/>
        <w:numPr>
          <w:ilvl w:val="0"/>
          <w:numId w:val="1"/>
        </w:numPr>
        <w:spacing w:line="276" w:lineRule="auto"/>
        <w:ind w:left="426"/>
        <w:rPr>
          <w:b/>
          <w:bCs/>
          <w:iCs/>
        </w:rPr>
      </w:pPr>
      <w:r w:rsidRPr="00695359">
        <w:rPr>
          <w:b/>
          <w:bCs/>
          <w:iCs/>
        </w:rPr>
        <w:t>Phụ trách môn học</w:t>
      </w:r>
    </w:p>
    <w:p w14:paraId="3A16EE10" w14:textId="77777777" w:rsidR="009578B8" w:rsidRPr="00690A2E" w:rsidRDefault="009578B8" w:rsidP="009578B8">
      <w:pPr>
        <w:spacing w:after="0"/>
      </w:pPr>
      <w:r w:rsidRPr="00690A2E">
        <w:t>Khoa/ Bộ môn: Khoa Điều Dưỡng – Kỹ Thuật Y Học/ Đơn vị Huấn Luyện Kỹ Năng Điều Dưỡng – Kỹ Thuật Y Học</w:t>
      </w:r>
    </w:p>
    <w:p w14:paraId="1CB7A46C" w14:textId="77777777" w:rsidR="009578B8" w:rsidRPr="00690A2E" w:rsidRDefault="009578B8" w:rsidP="009578B8">
      <w:pPr>
        <w:spacing w:after="0"/>
      </w:pPr>
      <w:r w:rsidRPr="00690A2E">
        <w:t>Địa chỉ liên hệ: 217 Hồng Bàng, Q.5, Tp.HCM (Tầng 10, tòa nhà 15 tầng)</w:t>
      </w:r>
    </w:p>
    <w:p w14:paraId="4C2B7716" w14:textId="77777777" w:rsidR="009578B8" w:rsidRPr="00690A2E" w:rsidRDefault="009578B8" w:rsidP="009578B8">
      <w:pPr>
        <w:spacing w:after="0"/>
      </w:pPr>
      <w:r w:rsidRPr="00690A2E">
        <w:t>Điện thoại liên hệ: 0</w:t>
      </w:r>
      <w:r>
        <w:t>2</w:t>
      </w:r>
      <w:r w:rsidRPr="00690A2E">
        <w:t>83.952.6020</w:t>
      </w:r>
    </w:p>
    <w:p w14:paraId="3A845525" w14:textId="77777777" w:rsidR="009578B8" w:rsidRPr="00690A2E" w:rsidRDefault="009578B8" w:rsidP="009578B8">
      <w:pPr>
        <w:spacing w:after="0"/>
      </w:pPr>
    </w:p>
    <w:p w14:paraId="01C3313B" w14:textId="77777777" w:rsidR="009578B8" w:rsidRPr="00690A2E" w:rsidRDefault="009578B8" w:rsidP="009578B8"/>
    <w:p w14:paraId="38444E2B" w14:textId="77777777" w:rsidR="009578B8" w:rsidRPr="004D1D24" w:rsidRDefault="009578B8" w:rsidP="009578B8">
      <w:pPr>
        <w:spacing w:after="0"/>
        <w:rPr>
          <w:color w:val="FF0000"/>
          <w:lang w:val="x-none" w:eastAsia="x-none"/>
        </w:rPr>
      </w:pPr>
    </w:p>
    <w:p w14:paraId="2F77A822" w14:textId="77777777" w:rsidR="00B57AA6" w:rsidRDefault="00B57AA6"/>
    <w:sectPr w:rsidR="00B57AA6" w:rsidSect="004E08BF">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A0DA1"/>
    <w:multiLevelType w:val="hybridMultilevel"/>
    <w:tmpl w:val="2028DF68"/>
    <w:lvl w:ilvl="0" w:tplc="F2D467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B8"/>
    <w:rsid w:val="004E08BF"/>
    <w:rsid w:val="005C66AA"/>
    <w:rsid w:val="009578B8"/>
    <w:rsid w:val="00AB3236"/>
    <w:rsid w:val="00B57AA6"/>
    <w:rsid w:val="00E2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8337"/>
  <w15:chartTrackingRefBased/>
  <w15:docId w15:val="{A278497B-9289-49F4-A4FC-22088AFB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8B8"/>
    <w:pPr>
      <w:spacing w:after="200" w:line="276" w:lineRule="auto"/>
    </w:pPr>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9578B8"/>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8B8"/>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9578B8"/>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9578B8"/>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Huong</dc:creator>
  <cp:keywords/>
  <dc:description/>
  <cp:lastModifiedBy>Do Thi Huong</cp:lastModifiedBy>
  <cp:revision>3</cp:revision>
  <dcterms:created xsi:type="dcterms:W3CDTF">2021-08-28T11:42:00Z</dcterms:created>
  <dcterms:modified xsi:type="dcterms:W3CDTF">2021-08-28T11:55:00Z</dcterms:modified>
</cp:coreProperties>
</file>